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2760B2">
      <w:pPr>
        <w:pStyle w:val="16"/>
        <w:widowControl/>
        <w:shd w:val="clear" w:color="auto" w:fill="FFFFFF"/>
        <w:spacing w:beforeAutospacing="0" w:afterAutospacing="0" w:line="300" w:lineRule="atLeast"/>
        <w:jc w:val="center"/>
        <w:rPr>
          <w:rFonts w:ascii="微软雅黑" w:hAnsi="微软雅黑" w:eastAsia="微软雅黑" w:cs="微软雅黑"/>
          <w:color w:val="333333"/>
          <w:sz w:val="32"/>
          <w:szCs w:val="32"/>
        </w:rPr>
      </w:pPr>
      <w:r>
        <w:rPr>
          <w:rFonts w:hint="eastAsia" w:ascii="微软雅黑" w:hAnsi="微软雅黑" w:eastAsia="微软雅黑" w:cs="微软雅黑"/>
          <w:color w:val="333333"/>
          <w:sz w:val="40"/>
          <w:szCs w:val="40"/>
          <w:shd w:val="clear" w:color="auto" w:fill="FFFFFF"/>
        </w:rPr>
        <w:t>关于吴江区中医医院</w:t>
      </w:r>
      <w:r>
        <w:rPr>
          <w:rFonts w:hint="eastAsia" w:ascii="微软雅黑" w:hAnsi="微软雅黑" w:eastAsia="微软雅黑" w:cs="微软雅黑"/>
          <w:color w:val="333333"/>
          <w:sz w:val="40"/>
          <w:szCs w:val="40"/>
          <w:shd w:val="clear" w:color="auto" w:fill="FFFFFF"/>
          <w:lang w:val="en-US" w:eastAsia="zh-CN"/>
        </w:rPr>
        <w:t>核心数据运营分析中心平台维保项目</w:t>
      </w:r>
      <w:r>
        <w:rPr>
          <w:rFonts w:hint="eastAsia" w:ascii="微软雅黑" w:hAnsi="微软雅黑" w:eastAsia="微软雅黑" w:cs="微软雅黑"/>
          <w:color w:val="333333"/>
          <w:sz w:val="40"/>
          <w:szCs w:val="40"/>
          <w:shd w:val="clear" w:color="auto" w:fill="FFFFFF"/>
        </w:rPr>
        <w:t>采购</w:t>
      </w:r>
      <w:r>
        <w:rPr>
          <w:rFonts w:hint="eastAsia" w:ascii="微软雅黑" w:hAnsi="微软雅黑" w:eastAsia="微软雅黑" w:cs="微软雅黑"/>
          <w:color w:val="333333"/>
          <w:sz w:val="40"/>
          <w:szCs w:val="40"/>
          <w:shd w:val="clear" w:color="auto" w:fill="FFFFFF"/>
          <w:lang w:val="en-US" w:eastAsia="zh-CN"/>
        </w:rPr>
        <w:t>调研</w:t>
      </w:r>
      <w:r>
        <w:rPr>
          <w:rFonts w:hint="eastAsia" w:ascii="微软雅黑" w:hAnsi="微软雅黑" w:eastAsia="微软雅黑" w:cs="微软雅黑"/>
          <w:color w:val="333333"/>
          <w:sz w:val="40"/>
          <w:szCs w:val="40"/>
          <w:shd w:val="clear" w:color="auto" w:fill="FFFFFF"/>
        </w:rPr>
        <w:t>公示</w:t>
      </w:r>
    </w:p>
    <w:p w14:paraId="1D5F0DF7">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我院近期将对</w:t>
      </w:r>
      <w:r>
        <w:rPr>
          <w:rFonts w:hint="eastAsia" w:ascii="微软雅黑" w:hAnsi="微软雅黑" w:eastAsia="微软雅黑" w:cs="微软雅黑"/>
          <w:shd w:val="clear" w:color="auto" w:fill="FFFFFF"/>
          <w:lang w:val="en-US" w:eastAsia="zh-CN"/>
        </w:rPr>
        <w:t>吴江区中医医院核心数据运营分析中心平台维保项目</w:t>
      </w:r>
      <w:r>
        <w:rPr>
          <w:rFonts w:hint="eastAsia" w:ascii="微软雅黑" w:hAnsi="微软雅黑" w:eastAsia="微软雅黑" w:cs="微软雅黑"/>
          <w:shd w:val="clear" w:color="auto" w:fill="FFFFFF"/>
        </w:rPr>
        <w:t>进行院内产品介绍及采购，现对该项目进行公示，欢迎符合相关条件的供应商参加。  </w:t>
      </w:r>
    </w:p>
    <w:p w14:paraId="477E9130">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1、项目名称：</w:t>
      </w:r>
    </w:p>
    <w:p w14:paraId="26184BC5">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吴江区中医医院</w:t>
      </w:r>
      <w:r>
        <w:rPr>
          <w:rFonts w:hint="eastAsia" w:ascii="微软雅黑" w:hAnsi="微软雅黑" w:eastAsia="微软雅黑" w:cs="微软雅黑"/>
          <w:shd w:val="clear" w:color="auto" w:fill="FFFFFF"/>
          <w:lang w:val="en-US" w:eastAsia="zh-CN"/>
        </w:rPr>
        <w:t>核心数据运营分析中心平台维保项目</w:t>
      </w:r>
      <w:r>
        <w:rPr>
          <w:rFonts w:hint="eastAsia" w:ascii="微软雅黑" w:hAnsi="微软雅黑" w:eastAsia="微软雅黑" w:cs="微软雅黑"/>
          <w:shd w:val="clear" w:color="auto" w:fill="FFFFFF"/>
        </w:rPr>
        <w:t>。</w:t>
      </w:r>
    </w:p>
    <w:p w14:paraId="494ECA1A">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2、项目简要说明：</w:t>
      </w:r>
    </w:p>
    <w:p w14:paraId="33EA8608">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对核心数据运营分析中心平台进行维保。</w:t>
      </w:r>
    </w:p>
    <w:p w14:paraId="5B15A378">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3、供应商资格要求:</w:t>
      </w:r>
    </w:p>
    <w:p w14:paraId="5F9E0EED">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①具有独立承担民事责任的能力</w:t>
      </w:r>
    </w:p>
    <w:p w14:paraId="39DD55B9">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②具有良好的商业信誉和健全的财务会计制度</w:t>
      </w:r>
    </w:p>
    <w:p w14:paraId="6DE8920E">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③具有履行合同所必需的专业技术能力，有独立自主的开发能力</w:t>
      </w:r>
    </w:p>
    <w:p w14:paraId="126506E6">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④有依法缴纳税收和社会保障资金的良好记录</w:t>
      </w:r>
    </w:p>
    <w:p w14:paraId="352EB971">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⑤在经营活动中没有重大违法记录</w:t>
      </w:r>
    </w:p>
    <w:p w14:paraId="4F9F1E62">
      <w:pPr>
        <w:pStyle w:val="1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⑥</w:t>
      </w:r>
      <w:r>
        <w:rPr>
          <w:rFonts w:hint="eastAsia" w:ascii="微软雅黑" w:hAnsi="微软雅黑" w:eastAsia="微软雅黑" w:cs="微软雅黑"/>
          <w:shd w:val="clear" w:color="auto" w:fill="FFFFFF"/>
        </w:rPr>
        <w:t>具有各类企业资质证书（企业资质证书、专业资质证书等</w:t>
      </w:r>
      <w:r>
        <w:rPr>
          <w:rFonts w:hint="eastAsia" w:ascii="微软雅黑" w:hAnsi="微软雅黑" w:eastAsia="微软雅黑" w:cs="微软雅黑"/>
          <w:shd w:val="clear" w:color="auto" w:fill="FFFFFF"/>
          <w:lang w:eastAsia="zh-CN"/>
        </w:rPr>
        <w:t>）</w:t>
      </w:r>
    </w:p>
    <w:p w14:paraId="6D038283">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4、报名</w:t>
      </w:r>
      <w:r>
        <w:rPr>
          <w:rFonts w:hint="eastAsia" w:ascii="微软雅黑" w:hAnsi="微软雅黑" w:eastAsia="微软雅黑" w:cs="微软雅黑"/>
          <w:shd w:val="clear" w:color="auto" w:fill="FFFFFF"/>
          <w:lang w:val="en-US" w:eastAsia="zh-CN"/>
        </w:rPr>
        <w:t>文件要求</w:t>
      </w:r>
      <w:r>
        <w:rPr>
          <w:rFonts w:hint="eastAsia" w:ascii="微软雅黑" w:hAnsi="微软雅黑" w:eastAsia="微软雅黑" w:cs="微软雅黑"/>
          <w:shd w:val="clear" w:color="auto" w:fill="FFFFFF"/>
        </w:rPr>
        <w:t>及询价信息：</w:t>
      </w:r>
    </w:p>
    <w:p w14:paraId="1BC8B279">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报名接收时间：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 xml:space="preserve">7-1 </w:t>
      </w:r>
      <w:r>
        <w:rPr>
          <w:rFonts w:hint="eastAsia" w:ascii="微软雅黑" w:hAnsi="微软雅黑" w:eastAsia="微软雅黑" w:cs="微软雅黑"/>
          <w:shd w:val="clear" w:color="auto" w:fill="FFFFFF"/>
        </w:rPr>
        <w:t>至</w:t>
      </w:r>
      <w:r>
        <w:rPr>
          <w:rFonts w:hint="eastAsia" w:ascii="微软雅黑" w:hAnsi="微软雅黑" w:eastAsia="微软雅黑" w:cs="微软雅黑"/>
          <w:shd w:val="clear" w:color="auto" w:fill="FFFFFF"/>
          <w:lang w:val="en-US" w:eastAsia="zh-CN"/>
        </w:rPr>
        <w:t xml:space="preserve"> 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w:t>
      </w:r>
    </w:p>
    <w:p w14:paraId="6361B8A5">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lang w:val="en-US" w:eastAsia="zh-CN"/>
        </w:rPr>
        <w:t>报名</w:t>
      </w:r>
      <w:r>
        <w:rPr>
          <w:rFonts w:hint="eastAsia" w:ascii="微软雅黑" w:hAnsi="微软雅黑" w:eastAsia="微软雅黑" w:cs="微软雅黑"/>
          <w:shd w:val="clear" w:color="auto" w:fill="FFFFFF"/>
        </w:rPr>
        <w:t>文件接收截止时间：</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w:t>
      </w:r>
      <w:r>
        <w:rPr>
          <w:rFonts w:hint="eastAsia" w:ascii="微软雅黑" w:hAnsi="微软雅黑" w:eastAsia="微软雅黑" w:cs="微软雅黑"/>
          <w:shd w:val="clear" w:color="auto" w:fill="FFFFFF"/>
          <w:lang w:val="en-US" w:eastAsia="zh-CN"/>
        </w:rPr>
        <w:t>7-7 16：</w:t>
      </w:r>
      <w:r>
        <w:rPr>
          <w:rFonts w:hint="eastAsia" w:ascii="微软雅黑" w:hAnsi="微软雅黑" w:eastAsia="微软雅黑" w:cs="微软雅黑"/>
          <w:shd w:val="clear" w:color="auto" w:fill="FFFFFF"/>
        </w:rPr>
        <w:t>00 </w:t>
      </w:r>
    </w:p>
    <w:p w14:paraId="50189E88">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lang w:val="en-US" w:eastAsia="zh-CN"/>
        </w:rPr>
        <w:t>院内调研时间：时间待定，具体调研时间将邮件通知符合条件的意向单位。</w:t>
      </w:r>
    </w:p>
    <w:p w14:paraId="7C1798C6">
      <w:pPr>
        <w:pStyle w:val="1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院内</w:t>
      </w:r>
      <w:r>
        <w:rPr>
          <w:rFonts w:hint="eastAsia" w:ascii="微软雅黑" w:hAnsi="微软雅黑" w:eastAsia="微软雅黑" w:cs="微软雅黑"/>
          <w:shd w:val="clear" w:color="auto" w:fill="FFFFFF"/>
          <w:lang w:val="en-US" w:eastAsia="zh-CN"/>
        </w:rPr>
        <w:t>调研</w:t>
      </w:r>
      <w:r>
        <w:rPr>
          <w:rFonts w:hint="eastAsia" w:ascii="微软雅黑" w:hAnsi="微软雅黑" w:eastAsia="微软雅黑" w:cs="微软雅黑"/>
          <w:shd w:val="clear" w:color="auto" w:fill="FFFFFF"/>
        </w:rPr>
        <w:t>地址：</w:t>
      </w:r>
      <w:r>
        <w:rPr>
          <w:rFonts w:hint="eastAsia" w:ascii="微软雅黑" w:hAnsi="微软雅黑" w:eastAsia="微软雅黑" w:cs="微软雅黑"/>
          <w:shd w:val="clear" w:color="auto" w:fill="FFFFFF"/>
          <w:lang w:val="en-US" w:eastAsia="zh-CN"/>
        </w:rPr>
        <w:t>苏州市吴江区平望镇大椿路999号吴江区中医医院。</w:t>
      </w:r>
    </w:p>
    <w:p w14:paraId="0DFF0594">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文件</w:t>
      </w:r>
      <w:r>
        <w:rPr>
          <w:rFonts w:hint="eastAsia" w:ascii="微软雅黑" w:hAnsi="微软雅黑" w:eastAsia="微软雅黑" w:cs="微软雅黑"/>
          <w:shd w:val="clear" w:color="auto" w:fill="FFFFFF"/>
        </w:rPr>
        <w:t>接收地点：苏州市吴江区中医医院信息中心</w:t>
      </w:r>
      <w:r>
        <w:rPr>
          <w:rFonts w:hint="eastAsia" w:ascii="微软雅黑" w:hAnsi="微软雅黑" w:eastAsia="微软雅黑" w:cs="微软雅黑"/>
          <w:shd w:val="clear" w:color="auto" w:fill="FFFFFF"/>
          <w:lang w:eastAsia="zh-CN"/>
        </w:rPr>
        <w:t>。</w:t>
      </w:r>
    </w:p>
    <w:p w14:paraId="437E3FB9">
      <w:pPr>
        <w:pStyle w:val="1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报名联系人：吴老师</w:t>
      </w:r>
      <w:r>
        <w:rPr>
          <w:rFonts w:hint="eastAsia" w:ascii="微软雅黑" w:hAnsi="微软雅黑" w:eastAsia="微软雅黑" w:cs="微软雅黑"/>
          <w:shd w:val="clear" w:color="auto" w:fill="FFFFFF"/>
          <w:lang w:val="en-US" w:eastAsia="zh-CN"/>
        </w:rPr>
        <w:t xml:space="preserve"> 联系方式：189 6257 7794</w:t>
      </w:r>
    </w:p>
    <w:p w14:paraId="54FE0F68">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报名</w:t>
      </w:r>
      <w:r>
        <w:rPr>
          <w:rFonts w:hint="eastAsia" w:ascii="微软雅黑" w:hAnsi="微软雅黑" w:eastAsia="微软雅黑" w:cs="微软雅黑"/>
          <w:shd w:val="clear" w:color="auto" w:fill="FFFFFF"/>
          <w:lang w:val="en-US" w:eastAsia="zh-CN"/>
        </w:rPr>
        <w:t>及咨询</w:t>
      </w:r>
      <w:r>
        <w:rPr>
          <w:rFonts w:hint="eastAsia" w:ascii="微软雅黑" w:hAnsi="微软雅黑" w:eastAsia="微软雅黑" w:cs="微软雅黑"/>
          <w:shd w:val="clear" w:color="auto" w:fill="FFFFFF"/>
        </w:rPr>
        <w:t xml:space="preserve">邮箱：wuzhiping1004@126.com   </w:t>
      </w:r>
    </w:p>
    <w:p w14:paraId="7A8D2220">
      <w:pPr>
        <w:pStyle w:val="8"/>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报名资格要求：填写附件一、附件二信息，响应相应附件三参数要求及第三大点供应商资格要求。</w:t>
      </w:r>
    </w:p>
    <w:p w14:paraId="7EEF5C5F">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5、</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内容</w:t>
      </w:r>
      <w:r>
        <w:rPr>
          <w:rFonts w:hint="eastAsia" w:ascii="微软雅黑" w:hAnsi="微软雅黑" w:eastAsia="微软雅黑" w:cs="微软雅黑"/>
          <w:shd w:val="clear" w:color="auto" w:fill="FFFFFF"/>
        </w:rPr>
        <w:t>要求：</w:t>
      </w:r>
    </w:p>
    <w:p w14:paraId="61A6690B">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①企业营业执照副本复印件、税务登记证副本复印件、组织机构代码证副本复印件</w:t>
      </w:r>
    </w:p>
    <w:p w14:paraId="6C70B6B5">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②产品的合法代理证明（中文，原件备查）</w:t>
      </w:r>
      <w:r>
        <w:rPr>
          <w:rFonts w:hint="eastAsia" w:ascii="微软雅黑" w:hAnsi="微软雅黑" w:eastAsia="微软雅黑" w:cs="微软雅黑"/>
          <w:shd w:val="clear" w:color="auto" w:fill="FFFFFF"/>
          <w:lang w:val="en-US" w:eastAsia="zh-CN"/>
        </w:rPr>
        <w:t>（如有代理情况则提供，无则不提供）</w:t>
      </w:r>
    </w:p>
    <w:p w14:paraId="1D22871A">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③响应单位的法定代表人授权委托书</w:t>
      </w:r>
    </w:p>
    <w:p w14:paraId="2D194C03">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④法人代表身份证复印件</w:t>
      </w:r>
    </w:p>
    <w:p w14:paraId="15E3D3E4">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⑤</w:t>
      </w:r>
      <w:r>
        <w:rPr>
          <w:rFonts w:hint="eastAsia" w:ascii="微软雅黑" w:hAnsi="微软雅黑" w:eastAsia="微软雅黑" w:cs="微软雅黑"/>
          <w:shd w:val="clear" w:color="auto" w:fill="FFFFFF"/>
          <w:lang w:val="en-US" w:eastAsia="zh-CN"/>
        </w:rPr>
        <w:t>参加谈判</w:t>
      </w:r>
      <w:r>
        <w:rPr>
          <w:rFonts w:hint="eastAsia" w:ascii="微软雅黑" w:hAnsi="微软雅黑" w:eastAsia="微软雅黑" w:cs="微软雅黑"/>
          <w:shd w:val="clear" w:color="auto" w:fill="FFFFFF"/>
        </w:rPr>
        <w:t>被授权人身份证复印件（原件备查）</w:t>
      </w:r>
    </w:p>
    <w:p w14:paraId="7D34C918">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eastAsia="zh-CN"/>
        </w:rPr>
      </w:pPr>
      <w:r>
        <w:rPr>
          <w:rFonts w:hint="eastAsia" w:ascii="微软雅黑" w:hAnsi="微软雅黑" w:eastAsia="微软雅黑" w:cs="微软雅黑"/>
          <w:shd w:val="clear" w:color="auto" w:fill="FFFFFF"/>
        </w:rPr>
        <w:t>⑥</w:t>
      </w:r>
      <w:r>
        <w:rPr>
          <w:rFonts w:hint="eastAsia" w:ascii="微软雅黑" w:hAnsi="微软雅黑" w:eastAsia="微软雅黑" w:cs="微软雅黑"/>
          <w:shd w:val="clear" w:color="auto" w:fill="FFFFFF"/>
          <w:lang w:val="en-US" w:eastAsia="zh-CN"/>
        </w:rPr>
        <w:t>投标</w:t>
      </w:r>
      <w:r>
        <w:rPr>
          <w:rFonts w:hint="eastAsia" w:ascii="微软雅黑" w:hAnsi="微软雅黑" w:eastAsia="微软雅黑" w:cs="微软雅黑"/>
          <w:shd w:val="clear" w:color="auto" w:fill="FFFFFF"/>
        </w:rPr>
        <w:t>文件</w:t>
      </w:r>
      <w:r>
        <w:rPr>
          <w:rFonts w:hint="eastAsia" w:ascii="微软雅黑" w:hAnsi="微软雅黑" w:eastAsia="微软雅黑" w:cs="微软雅黑"/>
          <w:shd w:val="clear" w:color="auto" w:fill="FFFFFF"/>
          <w:lang w:val="en-US" w:eastAsia="zh-CN"/>
        </w:rPr>
        <w:t>不</w:t>
      </w:r>
      <w:r>
        <w:rPr>
          <w:rFonts w:hint="eastAsia" w:ascii="微软雅黑" w:hAnsi="微软雅黑" w:eastAsia="微软雅黑" w:cs="微软雅黑"/>
          <w:shd w:val="clear" w:color="auto" w:fill="FFFFFF"/>
        </w:rPr>
        <w:t>少于4本</w:t>
      </w:r>
      <w:r>
        <w:rPr>
          <w:rFonts w:hint="eastAsia" w:ascii="微软雅黑" w:hAnsi="微软雅黑" w:eastAsia="微软雅黑" w:cs="微软雅黑"/>
          <w:shd w:val="clear" w:color="auto" w:fill="FFFFFF"/>
          <w:lang w:eastAsia="zh-CN"/>
        </w:rPr>
        <w:t>（</w:t>
      </w:r>
      <w:r>
        <w:rPr>
          <w:rFonts w:hint="eastAsia" w:ascii="微软雅黑" w:hAnsi="微软雅黑" w:eastAsia="微软雅黑" w:cs="微软雅黑"/>
          <w:shd w:val="clear" w:color="auto" w:fill="FFFFFF"/>
          <w:lang w:val="en-US" w:eastAsia="zh-CN"/>
        </w:rPr>
        <w:t>一正本三副本</w:t>
      </w:r>
      <w:r>
        <w:rPr>
          <w:rFonts w:hint="eastAsia" w:ascii="微软雅黑" w:hAnsi="微软雅黑" w:eastAsia="微软雅黑" w:cs="微软雅黑"/>
          <w:shd w:val="clear" w:color="auto" w:fill="FFFFFF"/>
          <w:lang w:eastAsia="zh-CN"/>
        </w:rPr>
        <w:t>）</w:t>
      </w:r>
    </w:p>
    <w:p w14:paraId="031A58E2">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⑦院内采购咨询报名表（见附件</w:t>
      </w:r>
      <w:r>
        <w:rPr>
          <w:rFonts w:hint="eastAsia" w:ascii="微软雅黑" w:hAnsi="微软雅黑" w:eastAsia="微软雅黑" w:cs="微软雅黑"/>
          <w:shd w:val="clear" w:color="auto" w:fill="FFFFFF"/>
          <w:lang w:val="en-US" w:eastAsia="zh-CN"/>
        </w:rPr>
        <w:t>一</w:t>
      </w:r>
      <w:r>
        <w:rPr>
          <w:rFonts w:hint="eastAsia" w:ascii="微软雅黑" w:hAnsi="微软雅黑" w:eastAsia="微软雅黑" w:cs="微软雅黑"/>
          <w:shd w:val="clear" w:color="auto" w:fill="FFFFFF"/>
        </w:rPr>
        <w:t>）</w:t>
      </w:r>
    </w:p>
    <w:p w14:paraId="0D138158">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shd w:val="clear" w:color="auto" w:fill="FFFFFF"/>
          <w:lang w:val="en-US" w:eastAsia="zh-CN"/>
        </w:rPr>
        <w:t>⑧</w:t>
      </w:r>
      <w:r>
        <w:rPr>
          <w:rFonts w:hint="eastAsia" w:ascii="微软雅黑" w:hAnsi="微软雅黑" w:eastAsia="微软雅黑" w:cs="微软雅黑"/>
          <w:kern w:val="0"/>
          <w:sz w:val="24"/>
          <w:szCs w:val="24"/>
          <w:shd w:val="clear" w:color="auto" w:fill="FFFFFF"/>
          <w:lang w:val="en-US" w:eastAsia="zh-CN" w:bidi="ar-SA"/>
        </w:rPr>
        <w:t>企业资质证书（企业资质证书、专业资质证书等）</w:t>
      </w:r>
    </w:p>
    <w:p w14:paraId="47C942B3">
      <w:pPr>
        <w:pStyle w:val="8"/>
        <w:ind w:firstLine="480" w:firstLineChars="200"/>
        <w:rPr>
          <w:rFonts w:hint="default" w:ascii="微软雅黑" w:hAnsi="微软雅黑" w:eastAsia="微软雅黑" w:cs="微软雅黑"/>
          <w:kern w:val="0"/>
          <w:sz w:val="24"/>
          <w:szCs w:val="24"/>
          <w:shd w:val="clear" w:color="auto" w:fill="FFFFFF"/>
          <w:lang w:val="en-US" w:eastAsia="zh-CN" w:bidi="ar-SA"/>
        </w:rPr>
      </w:pPr>
      <w:r>
        <w:rPr>
          <w:rFonts w:hint="eastAsia" w:ascii="微软雅黑" w:hAnsi="微软雅黑" w:eastAsia="微软雅黑" w:cs="微软雅黑"/>
          <w:kern w:val="0"/>
          <w:sz w:val="24"/>
          <w:szCs w:val="24"/>
          <w:shd w:val="clear" w:color="auto" w:fill="FFFFFF"/>
          <w:lang w:val="en-US" w:eastAsia="zh-CN" w:bidi="ar-SA"/>
        </w:rPr>
        <w:t>⑨采购需求中的需求参数响应表（参数内容见附件三）</w:t>
      </w:r>
    </w:p>
    <w:p w14:paraId="5C911997">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各供应商在报名文件中所提供的资料均应是真实的，若有虚假，由其自行承担一切后果。 </w:t>
      </w:r>
    </w:p>
    <w:p w14:paraId="4E3652C4">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6、其他联系事项：</w:t>
      </w:r>
    </w:p>
    <w:p w14:paraId="56A69B71">
      <w:pPr>
        <w:pStyle w:val="16"/>
        <w:widowControl/>
        <w:shd w:val="clear" w:color="auto" w:fill="FFFFFF"/>
        <w:spacing w:beforeAutospacing="0" w:afterAutospacing="0" w:line="300" w:lineRule="atLeast"/>
        <w:ind w:firstLine="480" w:firstLineChars="200"/>
        <w:rPr>
          <w:rFonts w:hint="default"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监察室：0512-</w:t>
      </w:r>
      <w:r>
        <w:rPr>
          <w:rFonts w:hint="eastAsia" w:ascii="微软雅黑" w:hAnsi="微软雅黑" w:eastAsia="微软雅黑" w:cs="微软雅黑"/>
          <w:shd w:val="clear" w:color="auto" w:fill="FFFFFF"/>
          <w:lang w:val="en-US" w:eastAsia="zh-CN"/>
        </w:rPr>
        <w:t>63891269</w:t>
      </w:r>
    </w:p>
    <w:p w14:paraId="6A899FED">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采购中心：0512-636565</w:t>
      </w:r>
      <w:r>
        <w:rPr>
          <w:rFonts w:hint="eastAsia" w:ascii="微软雅黑" w:hAnsi="微软雅黑" w:eastAsia="微软雅黑" w:cs="微软雅黑"/>
          <w:shd w:val="clear" w:color="auto" w:fill="FFFFFF"/>
          <w:lang w:val="en-US" w:eastAsia="zh-CN"/>
        </w:rPr>
        <w:t>62</w:t>
      </w:r>
    </w:p>
    <w:p w14:paraId="1FF84AA7">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lang w:val="en-US" w:eastAsia="zh-CN"/>
        </w:rPr>
      </w:pPr>
      <w:r>
        <w:rPr>
          <w:rFonts w:hint="eastAsia" w:ascii="微软雅黑" w:hAnsi="微软雅黑" w:eastAsia="微软雅黑" w:cs="微软雅黑"/>
          <w:shd w:val="clear" w:color="auto" w:fill="FFFFFF"/>
        </w:rPr>
        <w:t>请供应商在报名截止时间前将报名所需文件发送至报名邮箱，及时关注医院网站有关本项目有无变更公告,报名通过将以邮件形式通知</w:t>
      </w:r>
      <w:r>
        <w:rPr>
          <w:rFonts w:hint="eastAsia" w:ascii="微软雅黑" w:hAnsi="微软雅黑" w:eastAsia="微软雅黑" w:cs="微软雅黑"/>
          <w:shd w:val="clear" w:color="auto" w:fill="FFFFFF"/>
          <w:lang w:val="en-US" w:eastAsia="zh-CN"/>
        </w:rPr>
        <w:t>后续具体的具体谈判时间和地点。</w:t>
      </w:r>
    </w:p>
    <w:p w14:paraId="77E9AB31">
      <w:pPr>
        <w:pStyle w:val="16"/>
        <w:widowControl/>
        <w:shd w:val="clear" w:color="auto" w:fill="FFFFFF"/>
        <w:spacing w:beforeAutospacing="0" w:afterAutospacing="0" w:line="300" w:lineRule="atLeast"/>
        <w:ind w:firstLine="480" w:firstLineChars="200"/>
        <w:rPr>
          <w:rFonts w:hint="default" w:ascii="微软雅黑" w:hAnsi="微软雅黑" w:eastAsia="微软雅黑" w:cs="微软雅黑"/>
          <w:color w:val="auto"/>
          <w:shd w:val="clear" w:color="auto" w:fill="FFFFFF"/>
          <w:lang w:val="en-US" w:eastAsia="zh-CN"/>
        </w:rPr>
      </w:pPr>
      <w:r>
        <w:rPr>
          <w:rFonts w:hint="eastAsia" w:ascii="微软雅黑" w:hAnsi="微软雅黑" w:eastAsia="微软雅黑" w:cs="微软雅黑"/>
          <w:color w:val="auto"/>
          <w:shd w:val="clear" w:color="auto" w:fill="FFFFFF"/>
          <w:lang w:val="en-US" w:eastAsia="zh-CN"/>
        </w:rPr>
        <w:t>备注：地点如无另行通知，一般为：住院楼十二楼5号会议室，届时请带好投标文件前来进行院内调研，投标文件一式四份（一正本三副本）务必准备妥当，认真对待。</w:t>
      </w:r>
    </w:p>
    <w:p w14:paraId="7BB3619B">
      <w:pPr>
        <w:pStyle w:val="16"/>
        <w:widowControl/>
        <w:shd w:val="clear" w:color="auto" w:fill="FFFFFF"/>
        <w:spacing w:beforeAutospacing="0" w:afterAutospacing="0" w:line="300" w:lineRule="atLeast"/>
        <w:ind w:firstLine="480" w:firstLineChars="200"/>
        <w:rPr>
          <w:rFonts w:ascii="微软雅黑" w:hAnsi="微软雅黑" w:eastAsia="微软雅黑" w:cs="微软雅黑"/>
          <w:shd w:val="clear" w:color="auto" w:fill="FFFFFF"/>
        </w:rPr>
      </w:pPr>
      <w:r>
        <w:rPr>
          <w:rFonts w:hint="eastAsia" w:ascii="微软雅黑" w:hAnsi="微软雅黑" w:eastAsia="微软雅黑" w:cs="微软雅黑"/>
          <w:shd w:val="clear" w:color="auto" w:fill="FFFFFF"/>
        </w:rPr>
        <w:t>                                                         苏州市吴江区中医医院</w:t>
      </w:r>
    </w:p>
    <w:p w14:paraId="2D8C28DC">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r>
        <w:rPr>
          <w:rFonts w:hint="eastAsia" w:ascii="微软雅黑" w:hAnsi="微软雅黑" w:eastAsia="微软雅黑" w:cs="微软雅黑"/>
          <w:shd w:val="clear" w:color="auto" w:fill="FFFFFF"/>
        </w:rPr>
        <w:t xml:space="preserve">                                                            </w:t>
      </w:r>
      <w:r>
        <w:rPr>
          <w:rFonts w:hint="eastAsia" w:ascii="微软雅黑" w:hAnsi="微软雅黑" w:eastAsia="微软雅黑" w:cs="微软雅黑"/>
          <w:shd w:val="clear" w:color="auto" w:fill="FFFFFF"/>
          <w:lang w:val="en-US" w:eastAsia="zh-CN"/>
        </w:rPr>
        <w:t>2025</w:t>
      </w:r>
      <w:r>
        <w:rPr>
          <w:rFonts w:hint="eastAsia" w:ascii="微软雅黑" w:hAnsi="微软雅黑" w:eastAsia="微软雅黑" w:cs="微软雅黑"/>
          <w:shd w:val="clear" w:color="auto" w:fill="FFFFFF"/>
        </w:rPr>
        <w:t>年</w:t>
      </w:r>
      <w:r>
        <w:rPr>
          <w:rFonts w:hint="eastAsia" w:ascii="微软雅黑" w:hAnsi="微软雅黑" w:eastAsia="微软雅黑" w:cs="微软雅黑"/>
          <w:shd w:val="clear" w:color="auto" w:fill="FFFFFF"/>
          <w:lang w:val="en-US" w:eastAsia="zh-CN"/>
        </w:rPr>
        <w:t>7</w:t>
      </w:r>
      <w:r>
        <w:rPr>
          <w:rFonts w:hint="eastAsia" w:ascii="微软雅黑" w:hAnsi="微软雅黑" w:eastAsia="微软雅黑" w:cs="微软雅黑"/>
          <w:shd w:val="clear" w:color="auto" w:fill="FFFFFF"/>
        </w:rPr>
        <w:t>月</w:t>
      </w:r>
      <w:r>
        <w:rPr>
          <w:rFonts w:hint="eastAsia" w:ascii="微软雅黑" w:hAnsi="微软雅黑" w:eastAsia="微软雅黑" w:cs="微软雅黑"/>
          <w:shd w:val="clear" w:color="auto" w:fill="FFFFFF"/>
          <w:lang w:val="en-US" w:eastAsia="zh-CN"/>
        </w:rPr>
        <w:t>1</w:t>
      </w:r>
      <w:r>
        <w:rPr>
          <w:rFonts w:hint="eastAsia" w:ascii="微软雅黑" w:hAnsi="微软雅黑" w:eastAsia="微软雅黑" w:cs="微软雅黑"/>
          <w:shd w:val="clear" w:color="auto" w:fill="FFFFFF"/>
        </w:rPr>
        <w:t>日</w:t>
      </w:r>
    </w:p>
    <w:p w14:paraId="6C5D4C60">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6186D00">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5150DC9">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4B37647">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13C73759">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329DC5E">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EB56055">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0739C5A">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9281476">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5A754962">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0EB18A06">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75C7EB5A">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5550146">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3A751804">
      <w:pPr>
        <w:pStyle w:val="16"/>
        <w:widowControl/>
        <w:shd w:val="clear" w:color="auto" w:fill="FFFFFF"/>
        <w:spacing w:beforeAutospacing="0" w:afterAutospacing="0" w:line="300" w:lineRule="atLeast"/>
        <w:ind w:firstLine="480" w:firstLineChars="200"/>
        <w:rPr>
          <w:rFonts w:hint="eastAsia" w:ascii="微软雅黑" w:hAnsi="微软雅黑" w:eastAsia="微软雅黑" w:cs="微软雅黑"/>
          <w:shd w:val="clear" w:color="auto" w:fill="FFFFFF"/>
        </w:rPr>
      </w:pPr>
    </w:p>
    <w:p w14:paraId="2244B857">
      <w:pPr>
        <w:pStyle w:val="16"/>
        <w:widowControl/>
        <w:shd w:val="clear" w:color="auto" w:fill="FFFFFF"/>
        <w:spacing w:beforeAutospacing="0" w:afterAutospacing="0" w:line="300" w:lineRule="atLeast"/>
        <w:ind w:firstLine="562" w:firstLineChars="200"/>
        <w:rPr>
          <w:rFonts w:hint="eastAsia" w:ascii="宋体" w:hAnsi="宋体" w:cs="宋体" w:eastAsiaTheme="minorEastAsia"/>
          <w:b/>
          <w:bCs/>
          <w:kern w:val="2"/>
          <w:sz w:val="28"/>
          <w:szCs w:val="28"/>
          <w:lang w:val="en-US" w:eastAsia="zh-CN" w:bidi="ar-SA"/>
        </w:rPr>
      </w:pPr>
      <w:r>
        <w:rPr>
          <w:rFonts w:hint="eastAsia" w:ascii="宋体" w:hAnsi="宋体" w:cs="宋体" w:eastAsiaTheme="minorEastAsia"/>
          <w:b/>
          <w:bCs/>
          <w:kern w:val="2"/>
          <w:sz w:val="28"/>
          <w:szCs w:val="28"/>
          <w:lang w:val="en-US" w:eastAsia="zh-CN" w:bidi="ar-SA"/>
        </w:rPr>
        <w:t>附件一</w:t>
      </w:r>
      <w:r>
        <w:rPr>
          <w:rFonts w:hint="eastAsia" w:ascii="宋体" w:hAnsi="宋体" w:cs="宋体"/>
          <w:b/>
          <w:bCs/>
          <w:kern w:val="2"/>
          <w:sz w:val="28"/>
          <w:szCs w:val="28"/>
          <w:lang w:val="en-US" w:eastAsia="zh-CN" w:bidi="ar-SA"/>
        </w:rPr>
        <w:t>：</w:t>
      </w:r>
    </w:p>
    <w:p w14:paraId="1302F2BE">
      <w:pPr>
        <w:pStyle w:val="16"/>
        <w:widowControl/>
        <w:shd w:val="clear" w:color="auto" w:fill="FFFFFF"/>
        <w:spacing w:beforeAutospacing="0" w:afterAutospacing="0" w:line="240" w:lineRule="atLeast"/>
        <w:ind w:firstLine="480"/>
        <w:jc w:val="center"/>
        <w:rPr>
          <w:rFonts w:ascii="微软雅黑" w:hAnsi="微软雅黑" w:eastAsia="微软雅黑" w:cs="微软雅黑"/>
          <w:color w:val="333333"/>
        </w:rPr>
      </w:pPr>
      <w:r>
        <w:rPr>
          <w:rFonts w:hint="eastAsia" w:ascii="微软雅黑" w:hAnsi="微软雅黑" w:eastAsia="微软雅黑" w:cs="微软雅黑"/>
          <w:b/>
          <w:bCs/>
          <w:color w:val="333333"/>
          <w:sz w:val="52"/>
          <w:szCs w:val="52"/>
          <w:shd w:val="clear" w:color="auto" w:fill="FFFFFF"/>
        </w:rPr>
        <w:t>院内采购咨询报名表</w:t>
      </w:r>
    </w:p>
    <w:tbl>
      <w:tblPr>
        <w:tblStyle w:val="18"/>
        <w:tblW w:w="0" w:type="auto"/>
        <w:tblInd w:w="0" w:type="dxa"/>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Layout w:type="autofit"/>
        <w:tblCellMar>
          <w:top w:w="0" w:type="dxa"/>
          <w:left w:w="0" w:type="dxa"/>
          <w:bottom w:w="0" w:type="dxa"/>
          <w:right w:w="0" w:type="dxa"/>
        </w:tblCellMar>
      </w:tblPr>
      <w:tblGrid>
        <w:gridCol w:w="2130"/>
        <w:gridCol w:w="2130"/>
        <w:gridCol w:w="2131"/>
        <w:gridCol w:w="2131"/>
      </w:tblGrid>
      <w:tr w14:paraId="0E96C24E">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7" w:hRule="atLeast"/>
        </w:trPr>
        <w:tc>
          <w:tcPr>
            <w:tcW w:w="2130" w:type="dxa"/>
            <w:tcBorders>
              <w:top w:val="single" w:color="auto" w:sz="8" w:space="0"/>
              <w:left w:val="single" w:color="auto" w:sz="8" w:space="0"/>
              <w:bottom w:val="single" w:color="auto" w:sz="8" w:space="0"/>
              <w:right w:val="single" w:color="auto" w:sz="8" w:space="0"/>
            </w:tcBorders>
            <w:shd w:val="clear" w:color="auto" w:fill="FFFFFF"/>
            <w:tcMar>
              <w:left w:w="108" w:type="dxa"/>
              <w:right w:w="108" w:type="dxa"/>
            </w:tcMar>
            <w:vAlign w:val="center"/>
          </w:tcPr>
          <w:p w14:paraId="56E85279">
            <w:pPr>
              <w:pStyle w:val="1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公司名称</w:t>
            </w:r>
          </w:p>
        </w:tc>
        <w:tc>
          <w:tcPr>
            <w:tcW w:w="6392" w:type="dxa"/>
            <w:gridSpan w:val="3"/>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296CBD9">
            <w:pPr>
              <w:pStyle w:val="1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r>
      <w:tr w14:paraId="008120D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62" w:hRule="atLeast"/>
        </w:trPr>
        <w:tc>
          <w:tcPr>
            <w:tcW w:w="2130" w:type="dxa"/>
            <w:tcBorders>
              <w:top w:val="nil"/>
              <w:left w:val="single" w:color="auto" w:sz="8" w:space="0"/>
              <w:bottom w:val="single" w:color="auto" w:sz="8" w:space="0"/>
              <w:right w:val="single" w:color="auto" w:sz="8" w:space="0"/>
            </w:tcBorders>
            <w:shd w:val="clear" w:color="auto" w:fill="FFFFFF"/>
            <w:tcMar>
              <w:left w:w="108" w:type="dxa"/>
              <w:right w:w="108" w:type="dxa"/>
            </w:tcMar>
            <w:vAlign w:val="center"/>
          </w:tcPr>
          <w:p w14:paraId="6BAFACCA">
            <w:pPr>
              <w:pStyle w:val="1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报名项目</w:t>
            </w:r>
          </w:p>
        </w:tc>
        <w:tc>
          <w:tcPr>
            <w:tcW w:w="2130" w:type="dxa"/>
            <w:tcBorders>
              <w:top w:val="nil"/>
              <w:left w:val="nil"/>
              <w:bottom w:val="single" w:color="auto" w:sz="8" w:space="0"/>
              <w:right w:val="single" w:color="auto" w:sz="8" w:space="0"/>
            </w:tcBorders>
            <w:shd w:val="clear" w:color="auto" w:fill="FFFFFF"/>
            <w:tcMar>
              <w:left w:w="108" w:type="dxa"/>
              <w:right w:w="108" w:type="dxa"/>
            </w:tcMar>
            <w:vAlign w:val="center"/>
          </w:tcPr>
          <w:p w14:paraId="519DA484">
            <w:pPr>
              <w:pStyle w:val="1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b/>
                <w:bCs/>
                <w:color w:val="333333"/>
                <w:sz w:val="32"/>
                <w:szCs w:val="32"/>
              </w:rPr>
              <w:t> </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4A235124">
            <w:pPr>
              <w:pStyle w:val="16"/>
              <w:widowControl/>
              <w:spacing w:beforeAutospacing="0" w:afterAutospacing="0" w:line="240" w:lineRule="atLeast"/>
              <w:jc w:val="center"/>
              <w:rPr>
                <w:rFonts w:ascii="微软雅黑" w:hAnsi="微软雅黑" w:eastAsia="微软雅黑" w:cs="微软雅黑"/>
                <w:sz w:val="32"/>
                <w:szCs w:val="32"/>
              </w:rPr>
            </w:pPr>
            <w:r>
              <w:rPr>
                <w:rFonts w:hint="eastAsia" w:ascii="微软雅黑" w:hAnsi="微软雅黑" w:eastAsia="微软雅黑" w:cs="微软雅黑"/>
                <w:color w:val="333333"/>
                <w:sz w:val="32"/>
                <w:szCs w:val="32"/>
              </w:rPr>
              <w:t>报名时间</w:t>
            </w:r>
          </w:p>
        </w:tc>
        <w:tc>
          <w:tcPr>
            <w:tcW w:w="2131" w:type="dxa"/>
            <w:tcBorders>
              <w:top w:val="single" w:color="auto" w:sz="8" w:space="0"/>
              <w:left w:val="nil"/>
              <w:bottom w:val="single" w:color="auto" w:sz="8" w:space="0"/>
              <w:right w:val="single" w:color="auto" w:sz="8" w:space="0"/>
            </w:tcBorders>
            <w:shd w:val="clear" w:color="auto" w:fill="FFFFFF"/>
            <w:tcMar>
              <w:left w:w="108" w:type="dxa"/>
              <w:right w:w="108" w:type="dxa"/>
            </w:tcMar>
            <w:vAlign w:val="center"/>
          </w:tcPr>
          <w:p w14:paraId="32415AEB">
            <w:pPr>
              <w:pStyle w:val="1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r>
      <w:tr w14:paraId="1FA42C6F">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372" w:hRule="atLeast"/>
        </w:trPr>
        <w:tc>
          <w:tcPr>
            <w:tcW w:w="2130" w:type="dxa"/>
            <w:tcBorders>
              <w:top w:val="nil"/>
              <w:left w:val="single" w:color="auto" w:sz="8" w:space="0"/>
              <w:bottom w:val="single" w:color="auto" w:sz="4" w:space="0"/>
              <w:right w:val="single" w:color="auto" w:sz="8" w:space="0"/>
            </w:tcBorders>
            <w:shd w:val="clear" w:color="auto" w:fill="FFFFFF"/>
            <w:tcMar>
              <w:left w:w="108" w:type="dxa"/>
              <w:right w:w="108" w:type="dxa"/>
            </w:tcMar>
            <w:vAlign w:val="center"/>
          </w:tcPr>
          <w:p w14:paraId="41A3E058">
            <w:pPr>
              <w:pStyle w:val="1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联系人</w:t>
            </w:r>
          </w:p>
        </w:tc>
        <w:tc>
          <w:tcPr>
            <w:tcW w:w="2130" w:type="dxa"/>
            <w:tcBorders>
              <w:top w:val="nil"/>
              <w:left w:val="nil"/>
              <w:bottom w:val="single" w:color="auto" w:sz="4" w:space="0"/>
              <w:right w:val="single" w:color="auto" w:sz="8" w:space="0"/>
            </w:tcBorders>
            <w:shd w:val="clear" w:color="auto" w:fill="FFFFFF"/>
            <w:tcMar>
              <w:left w:w="108" w:type="dxa"/>
              <w:right w:w="108" w:type="dxa"/>
            </w:tcMar>
            <w:vAlign w:val="center"/>
          </w:tcPr>
          <w:p w14:paraId="64058015">
            <w:pPr>
              <w:pStyle w:val="1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b/>
                <w:bCs/>
                <w:color w:val="333333"/>
                <w:sz w:val="52"/>
                <w:szCs w:val="52"/>
              </w:rPr>
              <w:t> </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4E02F3CE">
            <w:pPr>
              <w:pStyle w:val="16"/>
              <w:widowControl/>
              <w:spacing w:beforeAutospacing="0" w:afterAutospacing="0" w:line="240" w:lineRule="atLeast"/>
              <w:jc w:val="center"/>
              <w:rPr>
                <w:rFonts w:ascii="微软雅黑" w:hAnsi="微软雅黑" w:eastAsia="微软雅黑" w:cs="微软雅黑"/>
                <w:sz w:val="52"/>
                <w:szCs w:val="52"/>
              </w:rPr>
            </w:pPr>
            <w:r>
              <w:rPr>
                <w:rFonts w:hint="eastAsia" w:ascii="微软雅黑" w:hAnsi="微软雅黑" w:eastAsia="微软雅黑" w:cs="微软雅黑"/>
                <w:color w:val="333333"/>
                <w:sz w:val="32"/>
                <w:szCs w:val="32"/>
              </w:rPr>
              <w:t>联系电话</w:t>
            </w:r>
          </w:p>
        </w:tc>
        <w:tc>
          <w:tcPr>
            <w:tcW w:w="2131" w:type="dxa"/>
            <w:tcBorders>
              <w:top w:val="nil"/>
              <w:left w:val="nil"/>
              <w:bottom w:val="single" w:color="auto" w:sz="4" w:space="0"/>
              <w:right w:val="single" w:color="auto" w:sz="8" w:space="0"/>
            </w:tcBorders>
            <w:shd w:val="clear" w:color="auto" w:fill="FFFFFF"/>
            <w:tcMar>
              <w:left w:w="108" w:type="dxa"/>
              <w:right w:w="108" w:type="dxa"/>
            </w:tcMar>
            <w:vAlign w:val="center"/>
          </w:tcPr>
          <w:p w14:paraId="6FE71ECD">
            <w:pPr>
              <w:rPr>
                <w:rFonts w:ascii="微软雅黑" w:hAnsi="微软雅黑" w:eastAsia="微软雅黑" w:cs="微软雅黑"/>
                <w:color w:val="333333"/>
                <w:sz w:val="24"/>
              </w:rPr>
            </w:pPr>
          </w:p>
        </w:tc>
      </w:tr>
      <w:tr w14:paraId="6B7F52C6">
        <w:tblPrEx>
          <w:tblBorders>
            <w:top w:val="none" w:color="auto" w:sz="0" w:space="0"/>
            <w:left w:val="none" w:color="auto" w:sz="0" w:space="0"/>
            <w:bottom w:val="none" w:color="auto" w:sz="0" w:space="0"/>
            <w:right w:val="none" w:color="auto" w:sz="0" w:space="0"/>
            <w:insideH w:val="outset" w:color="auto" w:sz="6" w:space="0"/>
            <w:insideV w:val="outset" w:color="auto" w:sz="6" w:space="0"/>
          </w:tblBorders>
          <w:shd w:val="clear" w:color="auto" w:fill="FFFFFF"/>
          <w:tblCellMar>
            <w:top w:w="0" w:type="dxa"/>
            <w:left w:w="0" w:type="dxa"/>
            <w:bottom w:w="0" w:type="dxa"/>
            <w:right w:w="0" w:type="dxa"/>
          </w:tblCellMar>
        </w:tblPrEx>
        <w:trPr>
          <w:trHeight w:val="909" w:hRule="atLeast"/>
        </w:trPr>
        <w:tc>
          <w:tcPr>
            <w:tcW w:w="2130" w:type="dxa"/>
            <w:tcBorders>
              <w:top w:val="single" w:color="auto" w:sz="4" w:space="0"/>
              <w:left w:val="single" w:color="auto" w:sz="4" w:space="0"/>
              <w:bottom w:val="single" w:color="auto" w:sz="4" w:space="0"/>
              <w:right w:val="single" w:color="auto" w:sz="8" w:space="0"/>
            </w:tcBorders>
            <w:shd w:val="clear" w:color="auto" w:fill="FFFFFF"/>
            <w:tcMar>
              <w:left w:w="108" w:type="dxa"/>
              <w:right w:w="108" w:type="dxa"/>
            </w:tcMar>
            <w:vAlign w:val="center"/>
          </w:tcPr>
          <w:p w14:paraId="0CD82B06">
            <w:pPr>
              <w:pStyle w:val="16"/>
              <w:widowControl/>
              <w:spacing w:beforeAutospacing="0" w:afterAutospacing="0" w:line="240" w:lineRule="atLeast"/>
              <w:jc w:val="center"/>
              <w:rPr>
                <w:rFonts w:hint="default" w:ascii="微软雅黑" w:hAnsi="微软雅黑" w:eastAsia="微软雅黑" w:cs="微软雅黑"/>
                <w:color w:val="333333"/>
                <w:sz w:val="32"/>
                <w:szCs w:val="32"/>
                <w:lang w:val="en-US" w:eastAsia="zh-CN"/>
              </w:rPr>
            </w:pPr>
            <w:r>
              <w:rPr>
                <w:rFonts w:hint="eastAsia" w:ascii="微软雅黑" w:hAnsi="微软雅黑" w:eastAsia="微软雅黑" w:cs="微软雅黑"/>
                <w:color w:val="333333"/>
                <w:sz w:val="32"/>
                <w:szCs w:val="32"/>
                <w:lang w:val="en-US" w:eastAsia="zh-CN"/>
              </w:rPr>
              <w:t>邮箱地址</w:t>
            </w:r>
          </w:p>
        </w:tc>
        <w:tc>
          <w:tcPr>
            <w:tcW w:w="6392" w:type="dxa"/>
            <w:gridSpan w:val="3"/>
            <w:tcBorders>
              <w:top w:val="single" w:color="auto" w:sz="4" w:space="0"/>
              <w:left w:val="nil"/>
              <w:bottom w:val="single" w:color="auto" w:sz="4" w:space="0"/>
              <w:right w:val="single" w:color="auto" w:sz="4" w:space="0"/>
            </w:tcBorders>
            <w:shd w:val="clear" w:color="auto" w:fill="FFFFFF"/>
            <w:tcMar>
              <w:left w:w="108" w:type="dxa"/>
              <w:right w:w="108" w:type="dxa"/>
            </w:tcMar>
            <w:vAlign w:val="center"/>
          </w:tcPr>
          <w:p w14:paraId="4490AF0B">
            <w:pPr>
              <w:rPr>
                <w:rFonts w:ascii="微软雅黑" w:hAnsi="微软雅黑" w:eastAsia="微软雅黑" w:cs="微软雅黑"/>
                <w:color w:val="333333"/>
                <w:sz w:val="24"/>
              </w:rPr>
            </w:pPr>
          </w:p>
        </w:tc>
      </w:tr>
    </w:tbl>
    <w:p w14:paraId="26935A93">
      <w:pPr>
        <w:pStyle w:val="11"/>
        <w:ind w:left="0" w:leftChars="0" w:firstLine="0" w:firstLineChars="0"/>
      </w:pPr>
    </w:p>
    <w:p w14:paraId="27CED540">
      <w:pPr>
        <w:pStyle w:val="11"/>
        <w:ind w:left="0" w:leftChars="0" w:firstLine="0" w:firstLineChars="0"/>
      </w:pPr>
    </w:p>
    <w:p w14:paraId="7AD551BD">
      <w:pPr>
        <w:pStyle w:val="11"/>
        <w:ind w:left="0" w:leftChars="0" w:firstLine="0" w:firstLineChars="0"/>
      </w:pPr>
    </w:p>
    <w:p w14:paraId="6B05AB9B">
      <w:pPr>
        <w:pStyle w:val="11"/>
        <w:ind w:left="0" w:leftChars="0" w:firstLine="0" w:firstLineChars="0"/>
      </w:pPr>
    </w:p>
    <w:p w14:paraId="3804BE4A">
      <w:pPr>
        <w:pStyle w:val="11"/>
        <w:ind w:left="0" w:leftChars="0" w:firstLine="0" w:firstLineChars="0"/>
      </w:pPr>
    </w:p>
    <w:p w14:paraId="27FC0FE0">
      <w:pPr>
        <w:pStyle w:val="11"/>
        <w:ind w:left="0" w:leftChars="0" w:firstLine="0" w:firstLineChars="0"/>
      </w:pPr>
    </w:p>
    <w:p w14:paraId="5CF943DA">
      <w:pPr>
        <w:pStyle w:val="11"/>
        <w:ind w:left="0" w:leftChars="0" w:firstLine="0" w:firstLineChars="0"/>
      </w:pPr>
    </w:p>
    <w:p w14:paraId="29309B83">
      <w:pPr>
        <w:pStyle w:val="11"/>
        <w:ind w:left="0" w:leftChars="0" w:firstLine="0" w:firstLineChars="0"/>
      </w:pPr>
    </w:p>
    <w:p w14:paraId="1FC0790C">
      <w:pPr>
        <w:pStyle w:val="11"/>
        <w:ind w:left="0" w:leftChars="0" w:firstLine="0" w:firstLineChars="0"/>
      </w:pPr>
    </w:p>
    <w:p w14:paraId="4AF70582">
      <w:pPr>
        <w:pStyle w:val="11"/>
        <w:ind w:left="0" w:leftChars="0" w:firstLine="0" w:firstLineChars="0"/>
      </w:pPr>
    </w:p>
    <w:p w14:paraId="4DC931F0">
      <w:pPr>
        <w:pStyle w:val="11"/>
        <w:ind w:left="0" w:leftChars="0" w:firstLine="0" w:firstLineChars="0"/>
      </w:pPr>
    </w:p>
    <w:p w14:paraId="6AC262AF">
      <w:pPr>
        <w:pStyle w:val="11"/>
        <w:ind w:left="0" w:leftChars="0" w:firstLine="0" w:firstLineChars="0"/>
      </w:pPr>
    </w:p>
    <w:p w14:paraId="1B5716A3">
      <w:pPr>
        <w:pStyle w:val="11"/>
        <w:ind w:left="0" w:leftChars="0" w:firstLine="0" w:firstLineChars="0"/>
      </w:pPr>
    </w:p>
    <w:p w14:paraId="63E27079">
      <w:pPr>
        <w:pStyle w:val="11"/>
        <w:ind w:left="0" w:leftChars="0" w:firstLine="0" w:firstLineChars="0"/>
      </w:pPr>
    </w:p>
    <w:p w14:paraId="78879146">
      <w:pPr>
        <w:spacing w:line="360" w:lineRule="exact"/>
        <w:ind w:firstLine="548" w:firstLineChars="196"/>
        <w:rPr>
          <w:rFonts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二</w:t>
      </w:r>
      <w:r>
        <w:rPr>
          <w:rFonts w:hint="eastAsia" w:ascii="黑体" w:hAnsi="黑体" w:eastAsia="黑体"/>
          <w:sz w:val="28"/>
          <w:szCs w:val="28"/>
        </w:rPr>
        <w:t>：</w:t>
      </w:r>
    </w:p>
    <w:p w14:paraId="4F8A550A">
      <w:pPr>
        <w:rPr>
          <w:b/>
        </w:rPr>
      </w:pPr>
    </w:p>
    <w:p w14:paraId="39B2EADC">
      <w:pPr>
        <w:jc w:val="center"/>
        <w:rPr>
          <w:b/>
          <w:sz w:val="36"/>
          <w:szCs w:val="36"/>
        </w:rPr>
      </w:pPr>
      <w:r>
        <w:rPr>
          <w:rFonts w:hint="eastAsia"/>
          <w:b/>
          <w:sz w:val="36"/>
          <w:szCs w:val="36"/>
        </w:rPr>
        <w:t>法定代表人授权委托书</w:t>
      </w:r>
    </w:p>
    <w:p w14:paraId="6BB3D82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本授权委托书声明：  我</w:t>
      </w:r>
      <w:r>
        <w:rPr>
          <w:rFonts w:hint="eastAsia" w:ascii="仿宋" w:hAnsi="仿宋" w:eastAsia="仿宋" w:cs="仿宋"/>
          <w:sz w:val="28"/>
          <w:szCs w:val="28"/>
          <w:u w:val="single"/>
        </w:rPr>
        <w:t xml:space="preserve">            （</w:t>
      </w:r>
      <w:r>
        <w:rPr>
          <w:rFonts w:hint="eastAsia" w:ascii="仿宋" w:hAnsi="仿宋" w:eastAsia="仿宋" w:cs="仿宋"/>
          <w:sz w:val="28"/>
          <w:szCs w:val="28"/>
        </w:rPr>
        <w:t>姓名）系</w:t>
      </w:r>
      <w:r>
        <w:rPr>
          <w:rFonts w:hint="eastAsia" w:ascii="仿宋" w:hAnsi="仿宋" w:eastAsia="仿宋" w:cs="仿宋"/>
          <w:sz w:val="28"/>
          <w:szCs w:val="28"/>
          <w:u w:val="single"/>
        </w:rPr>
        <w:t xml:space="preserve">                 </w:t>
      </w:r>
      <w:r>
        <w:rPr>
          <w:rFonts w:hint="eastAsia" w:ascii="仿宋" w:hAnsi="仿宋" w:eastAsia="仿宋" w:cs="仿宋"/>
          <w:sz w:val="28"/>
          <w:szCs w:val="28"/>
        </w:rPr>
        <w:t>（投标人名称）的法定代表人，现授权委托</w:t>
      </w:r>
      <w:r>
        <w:rPr>
          <w:rFonts w:hint="eastAsia" w:ascii="仿宋" w:hAnsi="仿宋" w:eastAsia="仿宋" w:cs="仿宋"/>
          <w:sz w:val="28"/>
          <w:szCs w:val="28"/>
          <w:u w:val="single"/>
        </w:rPr>
        <w:t xml:space="preserve">           </w:t>
      </w:r>
      <w:r>
        <w:rPr>
          <w:rFonts w:hint="eastAsia" w:ascii="仿宋" w:hAnsi="仿宋" w:eastAsia="仿宋" w:cs="仿宋"/>
          <w:sz w:val="28"/>
          <w:szCs w:val="28"/>
        </w:rPr>
        <w:t>（姓名）为我公司授权代表（即代理人），以本公司的名义参加</w:t>
      </w:r>
      <w:r>
        <w:rPr>
          <w:rFonts w:hint="eastAsia" w:ascii="仿宋" w:hAnsi="仿宋" w:eastAsia="仿宋" w:cs="仿宋"/>
          <w:sz w:val="28"/>
          <w:szCs w:val="28"/>
          <w:u w:val="single"/>
        </w:rPr>
        <w:t xml:space="preserve">           </w:t>
      </w:r>
      <w:r>
        <w:rPr>
          <w:rFonts w:hint="eastAsia" w:ascii="仿宋" w:hAnsi="仿宋" w:eastAsia="仿宋" w:cs="仿宋"/>
          <w:sz w:val="28"/>
          <w:szCs w:val="28"/>
        </w:rPr>
        <w:t>组织实施的            招标活动。代理人在开标、评标、合同谈判过程中所签署的一切文件和处理与这有关的一切事务，我均予以承认。</w:t>
      </w:r>
    </w:p>
    <w:p w14:paraId="53F0A723">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代理人在授权委托书有效期内签署的所有文件不因授权委托的撤销而失效，除非有撤销授权委托的书面通知，本授权委托书自投标开始至合同履行完毕止。</w:t>
      </w:r>
    </w:p>
    <w:p w14:paraId="0F102A59">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代理人无转委托权。特此委托。</w:t>
      </w:r>
    </w:p>
    <w:p w14:paraId="57132AD4">
      <w:pPr>
        <w:overflowPunct w:val="0"/>
        <w:adjustRightInd w:val="0"/>
        <w:spacing w:line="276" w:lineRule="auto"/>
        <w:ind w:firstLine="420"/>
        <w:textAlignment w:val="baseline"/>
        <w:rPr>
          <w:rFonts w:ascii="仿宋" w:hAnsi="仿宋" w:eastAsia="仿宋" w:cs="仿宋"/>
          <w:sz w:val="28"/>
          <w:szCs w:val="28"/>
        </w:rPr>
      </w:pPr>
      <w:r>
        <w:rPr>
          <w:rFonts w:hint="eastAsia" w:ascii="仿宋" w:hAnsi="仿宋" w:eastAsia="仿宋" w:cs="仿宋"/>
          <w:sz w:val="28"/>
          <w:szCs w:val="28"/>
        </w:rPr>
        <w:t>附：代理人身份证复印件</w:t>
      </w:r>
    </w:p>
    <w:p w14:paraId="7BD34B1B">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投标人名称（公章）：                           </w:t>
      </w:r>
    </w:p>
    <w:p w14:paraId="5AC42265">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法定代表人（签字或盖章）：                     </w:t>
      </w:r>
    </w:p>
    <w:p w14:paraId="4DD5A070">
      <w:pPr>
        <w:spacing w:line="276" w:lineRule="auto"/>
        <w:ind w:right="-115" w:rightChars="-55" w:firstLine="4760" w:firstLineChars="1700"/>
        <w:rPr>
          <w:rFonts w:ascii="仿宋" w:hAnsi="仿宋" w:eastAsia="仿宋" w:cs="仿宋"/>
          <w:sz w:val="28"/>
          <w:szCs w:val="28"/>
        </w:rPr>
      </w:pPr>
      <w:r>
        <w:rPr>
          <w:rFonts w:hint="eastAsia" w:ascii="仿宋" w:hAnsi="仿宋" w:eastAsia="仿宋" w:cs="仿宋"/>
          <w:sz w:val="28"/>
          <w:szCs w:val="28"/>
        </w:rPr>
        <w:t xml:space="preserve">授权代表（签字或盖章）：                       </w:t>
      </w:r>
    </w:p>
    <w:p w14:paraId="5F61D2E1">
      <w:pPr>
        <w:spacing w:line="276" w:lineRule="auto"/>
        <w:ind w:right="-115" w:rightChars="-55" w:firstLine="4760" w:firstLineChars="1700"/>
        <w:rPr>
          <w:rFonts w:hint="eastAsia" w:ascii="仿宋" w:hAnsi="仿宋" w:eastAsia="仿宋" w:cs="仿宋"/>
          <w:sz w:val="28"/>
          <w:szCs w:val="28"/>
        </w:rPr>
      </w:pPr>
      <w:r>
        <w:rPr>
          <w:rFonts w:hint="eastAsia" w:ascii="仿宋" w:hAnsi="仿宋" w:eastAsia="仿宋" w:cs="仿宋"/>
          <w:sz w:val="28"/>
          <w:szCs w:val="28"/>
        </w:rPr>
        <w:t>日期：    年    月    日</w:t>
      </w:r>
    </w:p>
    <w:p w14:paraId="14F9071B">
      <w:pPr>
        <w:pStyle w:val="11"/>
        <w:ind w:left="0" w:leftChars="0" w:firstLine="0" w:firstLineChars="0"/>
      </w:pPr>
    </w:p>
    <w:p w14:paraId="3681E083">
      <w:pPr>
        <w:pStyle w:val="11"/>
        <w:ind w:left="0" w:leftChars="0" w:firstLine="0" w:firstLineChars="0"/>
      </w:pPr>
    </w:p>
    <w:p w14:paraId="3307203C">
      <w:pPr>
        <w:pStyle w:val="11"/>
        <w:ind w:left="0" w:leftChars="0" w:firstLine="0" w:firstLineChars="0"/>
      </w:pPr>
    </w:p>
    <w:p w14:paraId="78BB040B">
      <w:pPr>
        <w:pStyle w:val="11"/>
        <w:ind w:left="0" w:leftChars="0" w:firstLine="0" w:firstLineChars="0"/>
      </w:pPr>
    </w:p>
    <w:p w14:paraId="476D055B">
      <w:pPr>
        <w:pStyle w:val="11"/>
        <w:ind w:left="0" w:leftChars="0" w:firstLine="0" w:firstLineChars="0"/>
      </w:pPr>
    </w:p>
    <w:p w14:paraId="224F2FFD">
      <w:pPr>
        <w:pStyle w:val="11"/>
        <w:ind w:left="0" w:leftChars="0" w:firstLine="0" w:firstLineChars="0"/>
      </w:pPr>
    </w:p>
    <w:p w14:paraId="5C67B6DF">
      <w:pPr>
        <w:spacing w:line="360" w:lineRule="exact"/>
        <w:ind w:firstLine="548" w:firstLineChars="196"/>
        <w:rPr>
          <w:rFonts w:hint="eastAsia" w:ascii="黑体" w:hAnsi="黑体" w:eastAsia="黑体"/>
          <w:sz w:val="28"/>
          <w:szCs w:val="28"/>
        </w:rPr>
      </w:pPr>
      <w:r>
        <w:rPr>
          <w:rFonts w:hint="eastAsia" w:ascii="黑体" w:hAnsi="黑体" w:eastAsia="黑体"/>
          <w:sz w:val="28"/>
          <w:szCs w:val="28"/>
        </w:rPr>
        <w:t>附件</w:t>
      </w:r>
      <w:r>
        <w:rPr>
          <w:rFonts w:hint="eastAsia" w:ascii="黑体" w:hAnsi="黑体" w:eastAsia="黑体"/>
          <w:sz w:val="28"/>
          <w:szCs w:val="28"/>
          <w:lang w:val="en-US" w:eastAsia="zh-CN"/>
        </w:rPr>
        <w:t>三</w:t>
      </w:r>
      <w:r>
        <w:rPr>
          <w:rFonts w:hint="eastAsia" w:ascii="黑体" w:hAnsi="黑体" w:eastAsia="黑体"/>
          <w:sz w:val="28"/>
          <w:szCs w:val="28"/>
        </w:rPr>
        <w:t>：</w:t>
      </w:r>
    </w:p>
    <w:p w14:paraId="6D25A45F">
      <w:pPr>
        <w:jc w:val="center"/>
        <w:rPr>
          <w:rFonts w:eastAsia="黑体"/>
          <w:b/>
          <w:sz w:val="32"/>
          <w:szCs w:val="32"/>
        </w:rPr>
      </w:pPr>
      <w:r>
        <w:rPr>
          <w:rFonts w:hint="eastAsia" w:eastAsia="黑体"/>
          <w:b/>
          <w:sz w:val="32"/>
          <w:szCs w:val="32"/>
        </w:rPr>
        <w:t>采购需求</w:t>
      </w:r>
    </w:p>
    <w:p w14:paraId="26425377">
      <w:pPr>
        <w:pStyle w:val="15"/>
        <w:spacing w:line="400" w:lineRule="exact"/>
        <w:ind w:firstLine="420"/>
        <w:rPr>
          <w:rFonts w:hint="default"/>
          <w:color w:val="000000"/>
          <w:sz w:val="21"/>
          <w:lang w:val="en-US" w:eastAsia="zh-CN"/>
        </w:rPr>
      </w:pPr>
      <w:r>
        <w:rPr>
          <w:rFonts w:hint="eastAsia"/>
          <w:color w:val="000000"/>
          <w:sz w:val="21"/>
          <w:lang w:val="en-US" w:eastAsia="zh-CN"/>
        </w:rPr>
        <w:t>一.采购预算：人民币肆拾捌万圆整（￥480000.00）</w:t>
      </w:r>
    </w:p>
    <w:p w14:paraId="289DDD58">
      <w:pPr>
        <w:spacing w:line="360" w:lineRule="auto"/>
        <w:ind w:firstLine="420" w:firstLineChars="200"/>
        <w:jc w:val="left"/>
        <w:rPr>
          <w:rFonts w:hint="eastAsia" w:asciiTheme="minorHAnsi" w:hAnsiTheme="minorHAnsi" w:eastAsiaTheme="minorEastAsia" w:cstheme="minorBidi"/>
          <w:color w:val="000000"/>
          <w:kern w:val="2"/>
          <w:sz w:val="21"/>
          <w:szCs w:val="24"/>
          <w:lang w:val="en-US" w:eastAsia="zh-CN" w:bidi="ar-SA"/>
        </w:rPr>
      </w:pPr>
      <w:r>
        <w:rPr>
          <w:rFonts w:hint="eastAsia" w:ascii="宋体" w:hAnsi="宋体"/>
          <w:kern w:val="0"/>
          <w:szCs w:val="21"/>
          <w:lang w:val="en-US" w:eastAsia="zh-CN"/>
        </w:rPr>
        <w:t>二.</w:t>
      </w:r>
      <w:r>
        <w:rPr>
          <w:rFonts w:hint="eastAsia" w:asciiTheme="minorHAnsi" w:hAnsiTheme="minorHAnsi" w:eastAsiaTheme="minorEastAsia" w:cstheme="minorBidi"/>
          <w:color w:val="000000"/>
          <w:kern w:val="2"/>
          <w:sz w:val="21"/>
          <w:szCs w:val="24"/>
          <w:lang w:val="en-US" w:eastAsia="zh-CN" w:bidi="ar-SA"/>
        </w:rPr>
        <w:t>需求参数</w:t>
      </w:r>
    </w:p>
    <w:p w14:paraId="3C90F963">
      <w:pPr>
        <w:spacing w:line="360" w:lineRule="auto"/>
        <w:ind w:firstLine="3193" w:firstLineChars="994"/>
        <w:jc w:val="left"/>
      </w:pPr>
      <w:r>
        <w:rPr>
          <w:rFonts w:hint="eastAsia" w:ascii="宋体" w:hAnsi="宋体" w:cs="仿宋"/>
          <w:b/>
          <w:bCs/>
          <w:color w:val="000000"/>
          <w:sz w:val="32"/>
          <w:szCs w:val="32"/>
          <w:lang w:val="en-US" w:eastAsia="zh-CN"/>
        </w:rPr>
        <w:t>需求参数</w:t>
      </w:r>
    </w:p>
    <w:p w14:paraId="65B073D8">
      <w:pPr>
        <w:pStyle w:val="3"/>
        <w:bidi w:val="0"/>
        <w:ind w:left="425" w:hanging="425"/>
        <w:jc w:val="center"/>
        <w:rPr>
          <w:rFonts w:hint="eastAsia"/>
          <w:lang w:val="en-US" w:eastAsia="zh-CN"/>
        </w:rPr>
      </w:pPr>
      <w:bookmarkStart w:id="0" w:name="_Toc25173"/>
      <w:bookmarkStart w:id="1" w:name="_Toc515443580"/>
      <w:r>
        <w:rPr>
          <w:rFonts w:hint="eastAsia"/>
          <w:lang w:val="en-US" w:eastAsia="zh-CN"/>
        </w:rPr>
        <w:t>维护升级服务内容</w:t>
      </w:r>
      <w:bookmarkEnd w:id="0"/>
      <w:bookmarkEnd w:id="1"/>
    </w:p>
    <w:p w14:paraId="5683E50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在</w:t>
      </w:r>
      <w:r>
        <w:rPr>
          <w:rFonts w:hint="eastAsia" w:ascii="宋体" w:hAnsi="宋体" w:cs="宋体"/>
          <w:sz w:val="24"/>
          <w:szCs w:val="24"/>
          <w:lang w:val="en-US" w:eastAsia="zh-CN"/>
        </w:rPr>
        <w:t>运维</w:t>
      </w:r>
      <w:r>
        <w:rPr>
          <w:rFonts w:hint="eastAsia" w:ascii="宋体" w:hAnsi="宋体" w:eastAsia="宋体" w:cs="宋体"/>
          <w:sz w:val="24"/>
          <w:szCs w:val="24"/>
          <w:lang w:val="zh-CN" w:eastAsia="zh-CN"/>
        </w:rPr>
        <w:t>服务期（以下简称“服务期”）内，提供服务内容主要包含</w:t>
      </w:r>
      <w:r>
        <w:rPr>
          <w:rFonts w:hint="eastAsia" w:ascii="宋体" w:hAnsi="宋体" w:cs="宋体"/>
          <w:sz w:val="24"/>
          <w:szCs w:val="24"/>
          <w:lang w:val="en-US" w:eastAsia="zh-CN"/>
        </w:rPr>
        <w:t>四</w:t>
      </w:r>
      <w:r>
        <w:rPr>
          <w:rFonts w:hint="eastAsia" w:ascii="宋体" w:hAnsi="宋体" w:eastAsia="宋体" w:cs="宋体"/>
          <w:sz w:val="24"/>
          <w:szCs w:val="24"/>
          <w:lang w:val="zh-CN" w:eastAsia="zh-CN"/>
        </w:rPr>
        <w:t>个部分：</w:t>
      </w:r>
      <w:r>
        <w:rPr>
          <w:rFonts w:hint="eastAsia" w:ascii="宋体" w:hAnsi="宋体" w:cs="宋体"/>
          <w:sz w:val="24"/>
          <w:szCs w:val="24"/>
          <w:lang w:val="en-US" w:eastAsia="zh-CN"/>
        </w:rPr>
        <w:t>系统升级、</w:t>
      </w:r>
      <w:r>
        <w:rPr>
          <w:rFonts w:hint="eastAsia" w:ascii="宋体" w:hAnsi="宋体" w:eastAsia="宋体" w:cs="宋体"/>
          <w:sz w:val="24"/>
          <w:szCs w:val="24"/>
          <w:lang w:val="zh-CN" w:eastAsia="zh-CN"/>
        </w:rPr>
        <w:t>功能应用维护、数据维护及其他服务，详见表1。</w:t>
      </w:r>
    </w:p>
    <w:p w14:paraId="3EFA76D8">
      <w:pPr>
        <w:pStyle w:val="4"/>
        <w:bidi w:val="0"/>
        <w:ind w:left="567" w:hanging="567"/>
        <w:rPr>
          <w:rFonts w:hint="eastAsia" w:ascii="Arial" w:hAnsi="Arial"/>
          <w:b/>
          <w:lang w:val="en-US" w:eastAsia="zh-CN"/>
        </w:rPr>
      </w:pPr>
      <w:bookmarkStart w:id="2" w:name="_Toc29479"/>
      <w:r>
        <w:rPr>
          <w:rFonts w:hint="eastAsia" w:ascii="Arial" w:hAnsi="Arial"/>
          <w:b/>
          <w:lang w:val="en-US" w:eastAsia="zh-CN"/>
        </w:rPr>
        <w:t>系统升级</w:t>
      </w:r>
      <w:bookmarkEnd w:id="2"/>
    </w:p>
    <w:p w14:paraId="0177383F">
      <w:pPr>
        <w:pStyle w:val="5"/>
        <w:bidi w:val="0"/>
        <w:rPr>
          <w:rFonts w:hint="default"/>
          <w:lang w:val="en-US" w:eastAsia="zh-CN"/>
        </w:rPr>
      </w:pPr>
      <w:r>
        <w:rPr>
          <w:rFonts w:hint="eastAsia"/>
          <w:lang w:val="en-US" w:eastAsia="zh-CN"/>
        </w:rPr>
        <w:t>升级ESB服务总线</w:t>
      </w:r>
    </w:p>
    <w:p w14:paraId="71633D3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zh-CN" w:eastAsia="zh-CN"/>
        </w:rPr>
      </w:pPr>
      <w:r>
        <w:rPr>
          <w:rFonts w:hint="eastAsia" w:ascii="宋体" w:hAnsi="宋体" w:eastAsia="宋体" w:cs="宋体"/>
          <w:sz w:val="28"/>
          <w:szCs w:val="28"/>
          <w:lang w:val="zh-CN" w:eastAsia="zh-CN"/>
        </w:rPr>
        <w:t xml:space="preserve">医院服务总线需支持主流的开放标准和规范，提供可靠的消息传输机制，建立服务之间的通信、连接、组合和集成的服务动态松耦合机制，为集成遗留系统和新建基于 SOA 的应用系统的服务集成提供了支撑。 并在此基础上，开发面向应用的业务适配器组件，实现各集成应用之间可管理的接口透明，为企业应用提供了便捷、一致、安全并符合标准的丰富接口，保证服务之间信息的可靠传送，实现不同操作系统，不同数据库、中间件运行平台及其基于这些平台之上开发的应用软件的服务集成。 </w:t>
      </w:r>
    </w:p>
    <w:p w14:paraId="76BDE640">
      <w:pPr>
        <w:pStyle w:val="6"/>
        <w:bidi w:val="0"/>
      </w:pPr>
      <w:r>
        <w:rPr>
          <w:rFonts w:hint="eastAsia"/>
        </w:rPr>
        <w:t>通用服务</w:t>
      </w:r>
      <w:r>
        <w:rPr>
          <w:rFonts w:hint="eastAsia"/>
          <w:lang w:val="en-US" w:eastAsia="zh-CN"/>
        </w:rPr>
        <w:t>发布</w:t>
      </w:r>
    </w:p>
    <w:p w14:paraId="4CAF05DC">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zh-CN" w:eastAsia="zh-Hans"/>
        </w:rPr>
      </w:pPr>
      <w:r>
        <w:rPr>
          <w:rFonts w:hint="eastAsia" w:ascii="宋体" w:hAnsi="宋体" w:eastAsia="宋体" w:cs="宋体"/>
          <w:sz w:val="28"/>
          <w:szCs w:val="28"/>
          <w:lang w:val="zh-CN" w:eastAsia="zh-CN"/>
        </w:rPr>
        <w:t>平台</w:t>
      </w:r>
      <w:r>
        <w:rPr>
          <w:rFonts w:hint="eastAsia" w:ascii="宋体" w:hAnsi="宋体" w:eastAsia="宋体" w:cs="宋体"/>
          <w:sz w:val="28"/>
          <w:szCs w:val="28"/>
          <w:lang w:val="en-US" w:eastAsia="zh-CN"/>
        </w:rPr>
        <w:t>支持</w:t>
      </w:r>
      <w:r>
        <w:rPr>
          <w:rFonts w:hint="eastAsia" w:ascii="宋体" w:hAnsi="宋体" w:eastAsia="宋体" w:cs="宋体"/>
          <w:sz w:val="28"/>
          <w:szCs w:val="28"/>
          <w:lang w:val="zh-CN" w:eastAsia="zh-CN"/>
        </w:rPr>
        <w:t>通过“ESB资源管理系统”对所有交换的服务进行统一配置管理，支持多种服务发布方式：通用服务（HTTP）， 通用服务（SOAP），定点推送服务，消息路由服务，在服务发布过程中提供服务配置管理功能，进行服务发布配置</w:t>
      </w:r>
      <w:r>
        <w:rPr>
          <w:rFonts w:hint="eastAsia" w:ascii="宋体" w:hAnsi="宋体" w:eastAsia="宋体" w:cs="宋体"/>
          <w:sz w:val="28"/>
          <w:szCs w:val="28"/>
          <w:lang w:val="zh-CN" w:eastAsia="zh-Hans"/>
        </w:rPr>
        <w:t>，支持查看服务的订阅数和周调阅数。</w:t>
      </w:r>
    </w:p>
    <w:p w14:paraId="0D77C957">
      <w:pPr>
        <w:ind w:firstLine="480"/>
        <w:rPr>
          <w:color w:val="000000" w:themeColor="text1"/>
          <w:lang w:eastAsia="zh-Hans"/>
          <w14:textFill>
            <w14:solidFill>
              <w14:schemeClr w14:val="tx1"/>
            </w14:solidFill>
          </w14:textFill>
        </w:rPr>
      </w:pPr>
    </w:p>
    <w:p w14:paraId="09A9CEB8">
      <w:pPr>
        <w:ind w:firstLine="480"/>
        <w:jc w:val="center"/>
        <w:rPr>
          <w:color w:val="000000" w:themeColor="text1"/>
          <w14:textFill>
            <w14:solidFill>
              <w14:schemeClr w14:val="tx1"/>
            </w14:solidFill>
          </w14:textFill>
        </w:rPr>
      </w:pPr>
    </w:p>
    <w:p w14:paraId="4589973F">
      <w:pPr>
        <w:pStyle w:val="6"/>
        <w:ind w:firstLine="562"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查询</w:t>
      </w:r>
    </w:p>
    <w:p w14:paraId="1ADD9BA2">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支持按服务名称关键字</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业务分类、服务分类、全部服务、我的订阅、我的发布进行条件</w:t>
      </w:r>
      <w:r>
        <w:rPr>
          <w:color w:val="000000" w:themeColor="text1"/>
          <w:sz w:val="28"/>
          <w:szCs w:val="28"/>
          <w14:textFill>
            <w14:solidFill>
              <w14:schemeClr w14:val="tx1"/>
            </w14:solidFill>
          </w14:textFill>
        </w:rPr>
        <w:t>查询</w:t>
      </w:r>
      <w:r>
        <w:rPr>
          <w:rFonts w:hint="eastAsia"/>
          <w:color w:val="000000" w:themeColor="text1"/>
          <w:sz w:val="28"/>
          <w:szCs w:val="28"/>
          <w14:textFill>
            <w14:solidFill>
              <w14:schemeClr w14:val="tx1"/>
            </w14:solidFill>
          </w14:textFill>
        </w:rPr>
        <w:t>通用</w:t>
      </w:r>
      <w:r>
        <w:rPr>
          <w:color w:val="000000" w:themeColor="text1"/>
          <w:sz w:val="28"/>
          <w:szCs w:val="28"/>
          <w14:textFill>
            <w14:solidFill>
              <w14:schemeClr w14:val="tx1"/>
            </w14:solidFill>
          </w14:textFill>
        </w:rPr>
        <w:t>服务</w:t>
      </w:r>
      <w:r>
        <w:rPr>
          <w:rFonts w:hint="eastAsia"/>
          <w:color w:val="000000" w:themeColor="text1"/>
          <w:sz w:val="28"/>
          <w:szCs w:val="28"/>
          <w14:textFill>
            <w14:solidFill>
              <w14:schemeClr w14:val="tx1"/>
            </w14:solidFill>
          </w14:textFill>
        </w:rPr>
        <w:t>。</w:t>
      </w:r>
    </w:p>
    <w:p w14:paraId="33310535">
      <w:pPr>
        <w:pStyle w:val="6"/>
        <w:ind w:firstLine="562"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HTTP通用服务</w:t>
      </w:r>
    </w:p>
    <w:p w14:paraId="0C3B7A9E">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1</w:t>
      </w:r>
      <w:r>
        <w:rPr>
          <w:rFonts w:hint="eastAsia"/>
          <w:color w:val="000000" w:themeColor="text1"/>
          <w:sz w:val="28"/>
          <w:szCs w:val="28"/>
          <w14:textFill>
            <w14:solidFill>
              <w14:schemeClr w14:val="tx1"/>
            </w14:solidFill>
          </w14:textFill>
        </w:rPr>
        <w:t>、发布</w:t>
      </w:r>
      <w:r>
        <w:rPr>
          <w:color w:val="000000" w:themeColor="text1"/>
          <w:sz w:val="28"/>
          <w:szCs w:val="28"/>
          <w14:textFill>
            <w14:solidFill>
              <w14:schemeClr w14:val="tx1"/>
            </w14:solidFill>
          </w14:textFill>
        </w:rPr>
        <w:t>HTTP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服务：按照服务名称、目录、业务分类、发布机构、发布地址、认证方式</w:t>
      </w:r>
      <w:r>
        <w:rPr>
          <w:rFonts w:hint="eastAsia"/>
          <w:color w:val="000000" w:themeColor="text1"/>
          <w:sz w:val="28"/>
          <w:szCs w:val="28"/>
          <w:lang w:eastAsia="zh-Hans"/>
          <w14:textFill>
            <w14:solidFill>
              <w14:schemeClr w14:val="tx1"/>
            </w14:solidFill>
          </w14:textFill>
        </w:rPr>
        <w:t>、安全设置、参数信息、接口信息</w:t>
      </w:r>
      <w:r>
        <w:rPr>
          <w:rFonts w:hint="eastAsia"/>
          <w:color w:val="000000" w:themeColor="text1"/>
          <w:sz w:val="28"/>
          <w:szCs w:val="28"/>
          <w14:textFill>
            <w14:solidFill>
              <w14:schemeClr w14:val="tx1"/>
            </w14:solidFill>
          </w14:textFill>
        </w:rPr>
        <w:t>这些信息填</w:t>
      </w:r>
      <w:r>
        <w:rPr>
          <w:rFonts w:hint="eastAsia"/>
          <w:color w:val="000000" w:themeColor="text1"/>
          <w:sz w:val="28"/>
          <w:szCs w:val="28"/>
          <w:lang w:eastAsia="zh-Hans"/>
          <w14:textFill>
            <w14:solidFill>
              <w14:schemeClr w14:val="tx1"/>
            </w14:solidFill>
          </w14:textFill>
        </w:rPr>
        <w:t>写后点击发布形成一个</w:t>
      </w:r>
      <w:r>
        <w:rPr>
          <w:color w:val="000000" w:themeColor="text1"/>
          <w:sz w:val="28"/>
          <w:szCs w:val="28"/>
          <w14:textFill>
            <w14:solidFill>
              <w14:schemeClr w14:val="tx1"/>
            </w14:solidFill>
          </w14:textFill>
        </w:rPr>
        <w:t>HTTP</w:t>
      </w:r>
      <w:r>
        <w:rPr>
          <w:rFonts w:hint="eastAsia"/>
          <w:color w:val="000000" w:themeColor="text1"/>
          <w:sz w:val="28"/>
          <w:szCs w:val="28"/>
          <w:lang w:eastAsia="zh-Hans"/>
          <w14:textFill>
            <w14:solidFill>
              <w14:schemeClr w14:val="tx1"/>
            </w14:solidFill>
          </w14:textFill>
        </w:rPr>
        <w:t>通用服务，供用户订阅和调阅。</w:t>
      </w:r>
    </w:p>
    <w:p w14:paraId="42C04C70">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2</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HTTP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订阅、订阅审核中、已订阅。</w:t>
      </w:r>
    </w:p>
    <w:p w14:paraId="22228B50">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r>
        <w:rPr>
          <w:color w:val="000000" w:themeColor="text1"/>
          <w:sz w:val="28"/>
          <w:szCs w:val="28"/>
          <w14:textFill>
            <w14:solidFill>
              <w14:schemeClr w14:val="tx1"/>
            </w14:solidFill>
          </w14:textFill>
        </w:rPr>
        <w:t>HTTP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服务详情展示</w:t>
      </w:r>
      <w:r>
        <w:rPr>
          <w:color w:val="000000" w:themeColor="text1"/>
          <w:sz w:val="28"/>
          <w:szCs w:val="28"/>
          <w14:textFill>
            <w14:solidFill>
              <w14:schemeClr w14:val="tx1"/>
            </w14:solidFill>
          </w14:textFill>
        </w:rPr>
        <w:t>页面</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编辑和删除HTTP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支持对HTTP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服务的</w:t>
      </w:r>
      <w:r>
        <w:rPr>
          <w:color w:val="000000" w:themeColor="text1"/>
          <w:sz w:val="28"/>
          <w:szCs w:val="28"/>
          <w14:textFill>
            <w14:solidFill>
              <w14:schemeClr w14:val="tx1"/>
            </w14:solidFill>
          </w14:textFill>
        </w:rPr>
        <w:t>订阅操作。</w:t>
      </w:r>
    </w:p>
    <w:p w14:paraId="1BE866B2">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w:t>
      </w:r>
      <w:r>
        <w:rPr>
          <w:rFonts w:hint="eastAsia"/>
          <w:color w:val="000000" w:themeColor="text1"/>
          <w:sz w:val="28"/>
          <w:szCs w:val="28"/>
          <w14:textFill>
            <w14:solidFill>
              <w14:schemeClr w14:val="tx1"/>
            </w14:solidFill>
          </w14:textFill>
        </w:rPr>
        <w:t>、通用</w:t>
      </w:r>
      <w:r>
        <w:rPr>
          <w:color w:val="000000" w:themeColor="text1"/>
          <w:sz w:val="28"/>
          <w:szCs w:val="28"/>
          <w14:textFill>
            <w14:solidFill>
              <w14:schemeClr w14:val="tx1"/>
            </w14:solidFill>
          </w14:textFill>
        </w:rPr>
        <w:t>服务首页，</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订阅HTTP</w:t>
      </w:r>
      <w:r>
        <w:rPr>
          <w:rFonts w:hint="eastAsia"/>
          <w:color w:val="000000" w:themeColor="text1"/>
          <w:sz w:val="28"/>
          <w:szCs w:val="28"/>
          <w:lang w:eastAsia="zh-Hans"/>
          <w14:textFill>
            <w14:solidFill>
              <w14:schemeClr w14:val="tx1"/>
            </w14:solidFill>
          </w14:textFill>
        </w:rPr>
        <w:t>通用</w:t>
      </w:r>
      <w:r>
        <w:rPr>
          <w:color w:val="000000" w:themeColor="text1"/>
          <w:sz w:val="28"/>
          <w:szCs w:val="28"/>
          <w14:textFill>
            <w14:solidFill>
              <w14:schemeClr w14:val="tx1"/>
            </w14:solidFill>
          </w14:textFill>
        </w:rPr>
        <w:t>服务操作</w:t>
      </w:r>
      <w:r>
        <w:rPr>
          <w:rFonts w:hint="eastAsia"/>
          <w:color w:val="000000" w:themeColor="text1"/>
          <w:sz w:val="28"/>
          <w:szCs w:val="28"/>
          <w14:textFill>
            <w14:solidFill>
              <w14:schemeClr w14:val="tx1"/>
            </w14:solidFill>
          </w14:textFill>
        </w:rPr>
        <w:t>。</w:t>
      </w:r>
    </w:p>
    <w:p w14:paraId="50C01BF9">
      <w:pPr>
        <w:pStyle w:val="6"/>
        <w:ind w:firstLine="562"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SOAP通用服务</w:t>
      </w:r>
    </w:p>
    <w:p w14:paraId="7824ED4E">
      <w:pPr>
        <w:numPr>
          <w:ilvl w:val="0"/>
          <w:numId w:val="4"/>
        </w:numPr>
        <w:spacing w:line="240" w:lineRule="auto"/>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发布</w:t>
      </w:r>
      <w:r>
        <w:rPr>
          <w:color w:val="000000" w:themeColor="text1"/>
          <w:sz w:val="28"/>
          <w:szCs w:val="28"/>
          <w14:textFill>
            <w14:solidFill>
              <w14:schemeClr w14:val="tx1"/>
            </w14:solidFill>
          </w14:textFill>
        </w:rPr>
        <w:t>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服务：按照服务名称、目录、业务分类、发布机构、发布地址、认证方式</w:t>
      </w:r>
      <w:r>
        <w:rPr>
          <w:rFonts w:hint="eastAsia"/>
          <w:color w:val="000000" w:themeColor="text1"/>
          <w:sz w:val="28"/>
          <w:szCs w:val="28"/>
          <w:lang w:eastAsia="zh-Hans"/>
          <w14:textFill>
            <w14:solidFill>
              <w14:schemeClr w14:val="tx1"/>
            </w14:solidFill>
          </w14:textFill>
        </w:rPr>
        <w:t>、安全设置、参数信息、接口信息</w:t>
      </w:r>
      <w:r>
        <w:rPr>
          <w:rFonts w:hint="eastAsia"/>
          <w:color w:val="000000" w:themeColor="text1"/>
          <w:sz w:val="28"/>
          <w:szCs w:val="28"/>
          <w14:textFill>
            <w14:solidFill>
              <w14:schemeClr w14:val="tx1"/>
            </w14:solidFill>
          </w14:textFill>
        </w:rPr>
        <w:t>这些信息填</w:t>
      </w:r>
      <w:r>
        <w:rPr>
          <w:rFonts w:hint="eastAsia"/>
          <w:color w:val="000000" w:themeColor="text1"/>
          <w:sz w:val="28"/>
          <w:szCs w:val="28"/>
          <w:lang w:eastAsia="zh-Hans"/>
          <w14:textFill>
            <w14:solidFill>
              <w14:schemeClr w14:val="tx1"/>
            </w14:solidFill>
          </w14:textFill>
        </w:rPr>
        <w:t>写后点击发布形成一个服务，供用户订阅和调阅。</w:t>
      </w:r>
    </w:p>
    <w:p w14:paraId="1BDF58C8">
      <w:pPr>
        <w:numPr>
          <w:ilvl w:val="0"/>
          <w:numId w:val="4"/>
        </w:numPr>
        <w:spacing w:line="24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订阅、订阅审核中、已订阅。</w:t>
      </w:r>
    </w:p>
    <w:p w14:paraId="56DF44D1">
      <w:pPr>
        <w:numPr>
          <w:ilvl w:val="0"/>
          <w:numId w:val="4"/>
        </w:numPr>
        <w:spacing w:line="240" w:lineRule="auto"/>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服务详情展示</w:t>
      </w:r>
      <w:r>
        <w:rPr>
          <w:color w:val="000000" w:themeColor="text1"/>
          <w:sz w:val="28"/>
          <w:szCs w:val="28"/>
          <w14:textFill>
            <w14:solidFill>
              <w14:schemeClr w14:val="tx1"/>
            </w14:solidFill>
          </w14:textFill>
        </w:rPr>
        <w:t>页面</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编辑和删除SOAP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支持对SOAP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服务的</w:t>
      </w:r>
      <w:r>
        <w:rPr>
          <w:color w:val="000000" w:themeColor="text1"/>
          <w:sz w:val="28"/>
          <w:szCs w:val="28"/>
          <w14:textFill>
            <w14:solidFill>
              <w14:schemeClr w14:val="tx1"/>
            </w14:solidFill>
          </w14:textFill>
        </w:rPr>
        <w:t>订阅操作。</w:t>
      </w:r>
    </w:p>
    <w:p w14:paraId="03F69ED7">
      <w:pPr>
        <w:numPr>
          <w:ilvl w:val="0"/>
          <w:numId w:val="4"/>
        </w:numPr>
        <w:spacing w:line="240" w:lineRule="auto"/>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通用</w:t>
      </w:r>
      <w:r>
        <w:rPr>
          <w:color w:val="000000" w:themeColor="text1"/>
          <w:sz w:val="28"/>
          <w:szCs w:val="28"/>
          <w14:textFill>
            <w14:solidFill>
              <w14:schemeClr w14:val="tx1"/>
            </w14:solidFill>
          </w14:textFill>
        </w:rPr>
        <w:t>服务首页，</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订阅SOAP</w:t>
      </w:r>
      <w:r>
        <w:rPr>
          <w:rFonts w:hint="eastAsia"/>
          <w:color w:val="000000" w:themeColor="text1"/>
          <w:sz w:val="28"/>
          <w:szCs w:val="28"/>
          <w:lang w:eastAsia="zh-Hans"/>
          <w14:textFill>
            <w14:solidFill>
              <w14:schemeClr w14:val="tx1"/>
            </w14:solidFill>
          </w14:textFill>
        </w:rPr>
        <w:t>通用</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操作</w:t>
      </w:r>
      <w:r>
        <w:rPr>
          <w:rFonts w:hint="eastAsia"/>
          <w:color w:val="000000" w:themeColor="text1"/>
          <w:sz w:val="28"/>
          <w:szCs w:val="28"/>
          <w14:textFill>
            <w14:solidFill>
              <w14:schemeClr w14:val="tx1"/>
            </w14:solidFill>
          </w14:textFill>
        </w:rPr>
        <w:t>。</w:t>
      </w:r>
    </w:p>
    <w:p w14:paraId="7A00F950">
      <w:pPr>
        <w:pStyle w:val="6"/>
        <w:ind w:firstLine="562"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定点推送服务</w:t>
      </w:r>
    </w:p>
    <w:p w14:paraId="6CF33DC9">
      <w:pPr>
        <w:ind w:firstLine="560" w:firstLineChars="200"/>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1、发布定点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服务：按照服务编码、服务名称、目录、业务分类、发布机构、队列名称、队列描述、队列最大深度</w:t>
      </w:r>
      <w:r>
        <w:rPr>
          <w:rFonts w:hint="eastAsia"/>
          <w:color w:val="000000" w:themeColor="text1"/>
          <w:sz w:val="28"/>
          <w:szCs w:val="28"/>
          <w:lang w:eastAsia="zh-Hans"/>
          <w14:textFill>
            <w14:solidFill>
              <w14:schemeClr w14:val="tx1"/>
            </w14:solidFill>
          </w14:textFill>
        </w:rPr>
        <w:t>、安全设置、参数信息</w:t>
      </w:r>
      <w:r>
        <w:rPr>
          <w:rFonts w:hint="eastAsia"/>
          <w:color w:val="000000" w:themeColor="text1"/>
          <w:sz w:val="28"/>
          <w:szCs w:val="28"/>
          <w14:textFill>
            <w14:solidFill>
              <w14:schemeClr w14:val="tx1"/>
            </w14:solidFill>
          </w14:textFill>
        </w:rPr>
        <w:t>这些信息填</w:t>
      </w:r>
      <w:r>
        <w:rPr>
          <w:rFonts w:hint="eastAsia"/>
          <w:color w:val="000000" w:themeColor="text1"/>
          <w:sz w:val="28"/>
          <w:szCs w:val="28"/>
          <w:lang w:eastAsia="zh-Hans"/>
          <w14:textFill>
            <w14:solidFill>
              <w14:schemeClr w14:val="tx1"/>
            </w14:solidFill>
          </w14:textFill>
        </w:rPr>
        <w:t>写后点击发布形成一个服务，供用户订阅和调阅。</w:t>
      </w:r>
    </w:p>
    <w:p w14:paraId="4DBA8A15">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订阅、订阅审核中、已订阅。</w:t>
      </w:r>
    </w:p>
    <w:p w14:paraId="30C0A0D0">
      <w:pPr>
        <w:ind w:firstLine="560" w:firstLineChars="200"/>
        <w:jc w:val="left"/>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服务详情展示</w:t>
      </w:r>
      <w:r>
        <w:rPr>
          <w:color w:val="000000" w:themeColor="text1"/>
          <w:sz w:val="28"/>
          <w:szCs w:val="28"/>
          <w14:textFill>
            <w14:solidFill>
              <w14:schemeClr w14:val="tx1"/>
            </w14:solidFill>
          </w14:textFill>
        </w:rPr>
        <w:t>页面</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编辑和删除</w:t>
      </w:r>
      <w:r>
        <w:rPr>
          <w:rFonts w:hint="eastAsia"/>
          <w:color w:val="000000" w:themeColor="text1"/>
          <w:sz w:val="28"/>
          <w:szCs w:val="28"/>
          <w14:textFill>
            <w14:solidFill>
              <w14:schemeClr w14:val="tx1"/>
            </w14:solidFill>
          </w14:textFill>
        </w:rPr>
        <w:t>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支持对</w:t>
      </w:r>
      <w:r>
        <w:rPr>
          <w:rFonts w:hint="eastAsia"/>
          <w:color w:val="000000" w:themeColor="text1"/>
          <w:sz w:val="28"/>
          <w:szCs w:val="28"/>
          <w14:textFill>
            <w14:solidFill>
              <w14:schemeClr w14:val="tx1"/>
            </w14:solidFill>
          </w14:textFill>
        </w:rPr>
        <w:t>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服务的</w:t>
      </w:r>
      <w:r>
        <w:rPr>
          <w:color w:val="000000" w:themeColor="text1"/>
          <w:sz w:val="28"/>
          <w:szCs w:val="28"/>
          <w14:textFill>
            <w14:solidFill>
              <w14:schemeClr w14:val="tx1"/>
            </w14:solidFill>
          </w14:textFill>
        </w:rPr>
        <w:t>订阅操作。</w:t>
      </w:r>
    </w:p>
    <w:p w14:paraId="3447E27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4、通用</w:t>
      </w:r>
      <w:r>
        <w:rPr>
          <w:color w:val="000000" w:themeColor="text1"/>
          <w:sz w:val="28"/>
          <w:szCs w:val="28"/>
          <w14:textFill>
            <w14:solidFill>
              <w14:schemeClr w14:val="tx1"/>
            </w14:solidFill>
          </w14:textFill>
        </w:rPr>
        <w:t>服务首页，</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订阅</w:t>
      </w:r>
      <w:r>
        <w:rPr>
          <w:rFonts w:hint="eastAsia"/>
          <w:color w:val="000000" w:themeColor="text1"/>
          <w:sz w:val="28"/>
          <w:szCs w:val="28"/>
          <w14:textFill>
            <w14:solidFill>
              <w14:schemeClr w14:val="tx1"/>
            </w14:solidFill>
          </w14:textFill>
        </w:rPr>
        <w:t>定点</w:t>
      </w:r>
      <w:r>
        <w:rPr>
          <w:color w:val="000000" w:themeColor="text1"/>
          <w:sz w:val="28"/>
          <w:szCs w:val="28"/>
          <w14:textFill>
            <w14:solidFill>
              <w14:schemeClr w14:val="tx1"/>
            </w14:solidFill>
          </w14:textFill>
        </w:rPr>
        <w:t>推送</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操作</w:t>
      </w:r>
      <w:r>
        <w:rPr>
          <w:rFonts w:hint="eastAsia"/>
          <w:color w:val="000000" w:themeColor="text1"/>
          <w:sz w:val="28"/>
          <w:szCs w:val="28"/>
          <w14:textFill>
            <w14:solidFill>
              <w14:schemeClr w14:val="tx1"/>
            </w14:solidFill>
          </w14:textFill>
        </w:rPr>
        <w:t>。</w:t>
      </w:r>
    </w:p>
    <w:p w14:paraId="4E400F55">
      <w:pPr>
        <w:pStyle w:val="6"/>
        <w:ind w:firstLine="562"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消息路由服务</w:t>
      </w:r>
    </w:p>
    <w:p w14:paraId="1955B6C2">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1、发布</w:t>
      </w:r>
      <w:r>
        <w:rPr>
          <w:rFonts w:hint="eastAsia"/>
          <w:color w:val="000000" w:themeColor="text1"/>
          <w:sz w:val="28"/>
          <w:szCs w:val="28"/>
          <w:lang w:eastAsia="zh-Hans"/>
          <w14:textFill>
            <w14:solidFill>
              <w14:schemeClr w14:val="tx1"/>
            </w14:solidFill>
          </w14:textFill>
        </w:rPr>
        <w:t>消息路由</w:t>
      </w:r>
      <w:r>
        <w:rPr>
          <w:rFonts w:hint="eastAsia"/>
          <w:color w:val="000000" w:themeColor="text1"/>
          <w:sz w:val="28"/>
          <w:szCs w:val="28"/>
          <w14:textFill>
            <w14:solidFill>
              <w14:schemeClr w14:val="tx1"/>
            </w14:solidFill>
          </w14:textFill>
        </w:rPr>
        <w:t>服务：按照目录、业务分析、服务名称、服务ID、医疗机构、发送系统、就诊类型、申请科室、执行科室、收费状态、附加码、备注这些信息填</w:t>
      </w:r>
      <w:r>
        <w:rPr>
          <w:rFonts w:hint="eastAsia"/>
          <w:color w:val="000000" w:themeColor="text1"/>
          <w:sz w:val="28"/>
          <w:szCs w:val="28"/>
          <w:lang w:eastAsia="zh-Hans"/>
          <w14:textFill>
            <w14:solidFill>
              <w14:schemeClr w14:val="tx1"/>
            </w14:solidFill>
          </w14:textFill>
        </w:rPr>
        <w:t>写后点击发布形成一个服务，供用户订阅和调阅</w:t>
      </w:r>
      <w:r>
        <w:rPr>
          <w:rFonts w:hint="eastAsia"/>
          <w:color w:val="000000" w:themeColor="text1"/>
          <w:sz w:val="28"/>
          <w:szCs w:val="28"/>
          <w14:textFill>
            <w14:solidFill>
              <w14:schemeClr w14:val="tx1"/>
            </w14:solidFill>
          </w14:textFill>
        </w:rPr>
        <w:t>。</w:t>
      </w:r>
    </w:p>
    <w:p w14:paraId="71C9372D">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w:t>
      </w:r>
      <w:r>
        <w:rPr>
          <w:rFonts w:hint="eastAsia"/>
          <w:color w:val="000000" w:themeColor="text1"/>
          <w:sz w:val="28"/>
          <w:szCs w:val="28"/>
          <w:lang w:eastAsia="zh-Hans"/>
          <w14:textFill>
            <w14:solidFill>
              <w14:schemeClr w14:val="tx1"/>
            </w14:solidFill>
          </w14:textFill>
        </w:rPr>
        <w:t>消息路由</w:t>
      </w:r>
      <w:r>
        <w:rPr>
          <w:rFonts w:hint="eastAsia"/>
          <w:color w:val="000000" w:themeColor="text1"/>
          <w:sz w:val="28"/>
          <w:szCs w:val="28"/>
          <w14:textFill>
            <w14:solidFill>
              <w14:schemeClr w14:val="tx1"/>
            </w14:solidFill>
          </w14:textFill>
        </w:rPr>
        <w:t>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订阅、订阅审核中、再订阅。</w:t>
      </w:r>
    </w:p>
    <w:p w14:paraId="10081B3B">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w:t>
      </w:r>
      <w:r>
        <w:rPr>
          <w:rFonts w:hint="eastAsia"/>
          <w:color w:val="000000" w:themeColor="text1"/>
          <w:sz w:val="28"/>
          <w:szCs w:val="28"/>
          <w:lang w:eastAsia="zh-Hans"/>
          <w14:textFill>
            <w14:solidFill>
              <w14:schemeClr w14:val="tx1"/>
            </w14:solidFill>
          </w14:textFill>
        </w:rPr>
        <w:t>消息路由</w:t>
      </w:r>
      <w:r>
        <w:rPr>
          <w:rFonts w:hint="eastAsia"/>
          <w:color w:val="000000" w:themeColor="text1"/>
          <w:sz w:val="28"/>
          <w:szCs w:val="28"/>
          <w14:textFill>
            <w14:solidFill>
              <w14:schemeClr w14:val="tx1"/>
            </w14:solidFill>
          </w14:textFill>
        </w:rPr>
        <w:t>服务详情展示</w:t>
      </w:r>
      <w:r>
        <w:rPr>
          <w:color w:val="000000" w:themeColor="text1"/>
          <w:sz w:val="28"/>
          <w:szCs w:val="28"/>
          <w14:textFill>
            <w14:solidFill>
              <w14:schemeClr w14:val="tx1"/>
            </w14:solidFill>
          </w14:textFill>
        </w:rPr>
        <w:t>页面</w:t>
      </w:r>
      <w:r>
        <w:rPr>
          <w:rFonts w:hint="eastAsia"/>
          <w:color w:val="000000" w:themeColor="text1"/>
          <w:sz w:val="28"/>
          <w:szCs w:val="28"/>
          <w14:textFill>
            <w14:solidFill>
              <w14:schemeClr w14:val="tx1"/>
            </w14:solidFill>
          </w14:textFill>
        </w:rPr>
        <w:t>，支持进行子服务的</w:t>
      </w:r>
      <w:r>
        <w:rPr>
          <w:color w:val="000000" w:themeColor="text1"/>
          <w:sz w:val="28"/>
          <w:szCs w:val="28"/>
          <w14:textFill>
            <w14:solidFill>
              <w14:schemeClr w14:val="tx1"/>
            </w14:solidFill>
          </w14:textFill>
        </w:rPr>
        <w:t>新增和</w:t>
      </w:r>
      <w:r>
        <w:rPr>
          <w:rFonts w:hint="eastAsia"/>
          <w:color w:val="000000" w:themeColor="text1"/>
          <w:sz w:val="28"/>
          <w:szCs w:val="28"/>
          <w:lang w:eastAsia="zh-Hans"/>
          <w14:textFill>
            <w14:solidFill>
              <w14:schemeClr w14:val="tx1"/>
            </w14:solidFill>
          </w14:textFill>
        </w:rPr>
        <w:t>订</w:t>
      </w:r>
      <w:r>
        <w:rPr>
          <w:rFonts w:hint="eastAsia"/>
          <w:color w:val="000000" w:themeColor="text1"/>
          <w:sz w:val="28"/>
          <w:szCs w:val="28"/>
          <w14:textFill>
            <w14:solidFill>
              <w14:schemeClr w14:val="tx1"/>
            </w14:solidFill>
          </w14:textFill>
        </w:rPr>
        <w:t>阅</w:t>
      </w:r>
      <w:r>
        <w:rPr>
          <w:color w:val="000000" w:themeColor="text1"/>
          <w:sz w:val="28"/>
          <w:szCs w:val="28"/>
          <w14:textFill>
            <w14:solidFill>
              <w14:schemeClr w14:val="tx1"/>
            </w14:solidFill>
          </w14:textFill>
        </w:rPr>
        <w:t>操作。</w:t>
      </w:r>
    </w:p>
    <w:p w14:paraId="6B44751D">
      <w:pPr>
        <w:ind w:firstLine="560" w:firstLineChars="200"/>
        <w:rPr>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4</w:t>
      </w:r>
      <w:r>
        <w:rPr>
          <w:rFonts w:hint="eastAsia"/>
          <w:color w:val="000000" w:themeColor="text1"/>
          <w:sz w:val="28"/>
          <w:szCs w:val="28"/>
          <w14:textFill>
            <w14:solidFill>
              <w14:schemeClr w14:val="tx1"/>
            </w14:solidFill>
          </w14:textFill>
        </w:rPr>
        <w:t>、通用</w:t>
      </w:r>
      <w:r>
        <w:rPr>
          <w:color w:val="000000" w:themeColor="text1"/>
          <w:sz w:val="28"/>
          <w:szCs w:val="28"/>
          <w14:textFill>
            <w14:solidFill>
              <w14:schemeClr w14:val="tx1"/>
            </w14:solidFill>
          </w14:textFill>
        </w:rPr>
        <w:t>服务首页，</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订阅</w:t>
      </w:r>
      <w:r>
        <w:rPr>
          <w:rFonts w:hint="eastAsia"/>
          <w:color w:val="000000" w:themeColor="text1"/>
          <w:sz w:val="28"/>
          <w:szCs w:val="28"/>
          <w14:textFill>
            <w14:solidFill>
              <w14:schemeClr w14:val="tx1"/>
            </w14:solidFill>
          </w14:textFill>
        </w:rPr>
        <w:t>和</w:t>
      </w:r>
      <w:r>
        <w:rPr>
          <w:color w:val="000000" w:themeColor="text1"/>
          <w:sz w:val="28"/>
          <w:szCs w:val="28"/>
          <w14:textFill>
            <w14:solidFill>
              <w14:schemeClr w14:val="tx1"/>
            </w14:solidFill>
          </w14:textFill>
        </w:rPr>
        <w:t>再订阅</w:t>
      </w:r>
      <w:r>
        <w:rPr>
          <w:rFonts w:hint="eastAsia"/>
          <w:color w:val="000000" w:themeColor="text1"/>
          <w:sz w:val="28"/>
          <w:szCs w:val="28"/>
          <w:lang w:eastAsia="zh-Hans"/>
          <w14:textFill>
            <w14:solidFill>
              <w14:schemeClr w14:val="tx1"/>
            </w14:solidFill>
          </w14:textFill>
        </w:rPr>
        <w:t>消息路由</w:t>
      </w:r>
      <w:r>
        <w:rPr>
          <w:rFonts w:hint="eastAsia"/>
          <w:color w:val="000000" w:themeColor="text1"/>
          <w:sz w:val="28"/>
          <w:szCs w:val="28"/>
          <w14:textFill>
            <w14:solidFill>
              <w14:schemeClr w14:val="tx1"/>
            </w14:solidFill>
          </w14:textFill>
        </w:rPr>
        <w:t>服务</w:t>
      </w:r>
      <w:r>
        <w:rPr>
          <w:color w:val="000000" w:themeColor="text1"/>
          <w:sz w:val="28"/>
          <w:szCs w:val="28"/>
          <w14:textFill>
            <w14:solidFill>
              <w14:schemeClr w14:val="tx1"/>
            </w14:solidFill>
          </w14:textFill>
        </w:rPr>
        <w:t>操作</w:t>
      </w:r>
      <w:r>
        <w:rPr>
          <w:rFonts w:hint="eastAsia"/>
          <w:color w:val="000000" w:themeColor="text1"/>
          <w:sz w:val="28"/>
          <w:szCs w:val="28"/>
          <w14:textFill>
            <w14:solidFill>
              <w14:schemeClr w14:val="tx1"/>
            </w14:solidFill>
          </w14:textFill>
        </w:rPr>
        <w:t>。</w:t>
      </w:r>
    </w:p>
    <w:p w14:paraId="7FD39B36">
      <w:pPr>
        <w:pStyle w:val="6"/>
        <w:ind w:firstLine="562"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数据服务</w:t>
      </w:r>
    </w:p>
    <w:p w14:paraId="66F3D8A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平台通过“ESB资源管理系统”对所有交换的服务进行统一配置管理，支持多种服务发布方式：数据服务，ETL服务，在服务发布过程中提供服务配置管理功能，进行服务发布配置，</w:t>
      </w:r>
      <w:r>
        <w:rPr>
          <w:rFonts w:hint="eastAsia"/>
          <w:color w:val="000000" w:themeColor="text1"/>
          <w:sz w:val="28"/>
          <w:szCs w:val="28"/>
          <w:lang w:eastAsia="zh-Hans"/>
          <w14:textFill>
            <w14:solidFill>
              <w14:schemeClr w14:val="tx1"/>
            </w14:solidFill>
          </w14:textFill>
        </w:rPr>
        <w:t>支持查看服务的订阅数和周调阅数</w:t>
      </w:r>
      <w:r>
        <w:rPr>
          <w:rFonts w:hint="eastAsia"/>
          <w:color w:val="000000" w:themeColor="text1"/>
          <w:sz w:val="28"/>
          <w:szCs w:val="28"/>
          <w14:textFill>
            <w14:solidFill>
              <w14:schemeClr w14:val="tx1"/>
            </w14:solidFill>
          </w14:textFill>
        </w:rPr>
        <w:t>。</w:t>
      </w:r>
    </w:p>
    <w:p w14:paraId="02462558">
      <w:pPr>
        <w:pStyle w:val="17"/>
        <w:tabs>
          <w:tab w:val="left" w:pos="1296"/>
        </w:tabs>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查询</w:t>
      </w:r>
    </w:p>
    <w:p w14:paraId="73333E2D">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支持按业务分类、按服务分类、全部服务、我的订阅、我的发布进行条件</w:t>
      </w:r>
      <w:r>
        <w:rPr>
          <w:color w:val="000000" w:themeColor="text1"/>
          <w:sz w:val="28"/>
          <w:szCs w:val="28"/>
          <w14:textFill>
            <w14:solidFill>
              <w14:schemeClr w14:val="tx1"/>
            </w14:solidFill>
          </w14:textFill>
        </w:rPr>
        <w:t>查询数据服务</w:t>
      </w:r>
      <w:r>
        <w:rPr>
          <w:rFonts w:hint="eastAsia"/>
          <w:color w:val="000000" w:themeColor="text1"/>
          <w:sz w:val="28"/>
          <w:szCs w:val="28"/>
          <w14:textFill>
            <w14:solidFill>
              <w14:schemeClr w14:val="tx1"/>
            </w14:solidFill>
          </w14:textFill>
        </w:rPr>
        <w:t>。</w:t>
      </w:r>
    </w:p>
    <w:p w14:paraId="48F88DB3">
      <w:pPr>
        <w:pStyle w:val="17"/>
        <w:tabs>
          <w:tab w:val="left" w:pos="1296"/>
        </w:tabs>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数据服务</w:t>
      </w:r>
    </w:p>
    <w:p w14:paraId="3327F472">
      <w:pPr>
        <w:numPr>
          <w:ilvl w:val="0"/>
          <w:numId w:val="5"/>
        </w:numPr>
        <w:spacing w:line="240" w:lineRule="auto"/>
        <w:ind w:left="420"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发布数据服务：按照目录、服务编码、服务名称、业务分类、业务文档编码、发布方、所属机构新增服务后配置SQL包括数据源、业务系统、结果集名称、信息节点、合法的select的SQL语句、参数定义；测试并保存配置。下方支持按照医疗机构信息、服务名称查看完成配置列表并且能够对配置进行删除操作。</w:t>
      </w:r>
    </w:p>
    <w:p w14:paraId="631288C5">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2、数据服务状态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订阅、订阅审核中、已订阅。</w:t>
      </w:r>
    </w:p>
    <w:p w14:paraId="31EF5AC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3、支持</w:t>
      </w:r>
      <w:r>
        <w:rPr>
          <w:color w:val="000000" w:themeColor="text1"/>
          <w:sz w:val="28"/>
          <w:szCs w:val="28"/>
          <w14:textFill>
            <w14:solidFill>
              <w14:schemeClr w14:val="tx1"/>
            </w14:solidFill>
          </w14:textFill>
        </w:rPr>
        <w:t>展示</w:t>
      </w:r>
      <w:r>
        <w:rPr>
          <w:rFonts w:hint="eastAsia"/>
          <w:color w:val="000000" w:themeColor="text1"/>
          <w:sz w:val="28"/>
          <w:szCs w:val="28"/>
          <w14:textFill>
            <w14:solidFill>
              <w14:schemeClr w14:val="tx1"/>
            </w14:solidFill>
          </w14:textFill>
        </w:rPr>
        <w:t>数据服务详情信息</w:t>
      </w:r>
      <w:r>
        <w:rPr>
          <w:color w:val="000000" w:themeColor="text1"/>
          <w:sz w:val="28"/>
          <w:szCs w:val="28"/>
          <w14:textFill>
            <w14:solidFill>
              <w14:schemeClr w14:val="tx1"/>
            </w14:solidFill>
          </w14:textFill>
        </w:rPr>
        <w:t>。</w:t>
      </w:r>
    </w:p>
    <w:p w14:paraId="28880112">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4、数据服务首页支持</w:t>
      </w:r>
      <w:r>
        <w:rPr>
          <w:color w:val="000000" w:themeColor="text1"/>
          <w:sz w:val="28"/>
          <w:szCs w:val="28"/>
          <w14:textFill>
            <w14:solidFill>
              <w14:schemeClr w14:val="tx1"/>
            </w14:solidFill>
          </w14:textFill>
        </w:rPr>
        <w:t>数据服务订阅，</w:t>
      </w:r>
      <w:r>
        <w:rPr>
          <w:rFonts w:hint="eastAsia"/>
          <w:color w:val="000000" w:themeColor="text1"/>
          <w:sz w:val="28"/>
          <w:szCs w:val="28"/>
          <w14:textFill>
            <w14:solidFill>
              <w14:schemeClr w14:val="tx1"/>
            </w14:solidFill>
          </w14:textFill>
        </w:rPr>
        <w:t>支持</w:t>
      </w:r>
      <w:r>
        <w:rPr>
          <w:color w:val="000000" w:themeColor="text1"/>
          <w:sz w:val="28"/>
          <w:szCs w:val="28"/>
          <w14:textFill>
            <w14:solidFill>
              <w14:schemeClr w14:val="tx1"/>
            </w14:solidFill>
          </w14:textFill>
        </w:rPr>
        <w:t>webserver和</w:t>
      </w:r>
      <w:r>
        <w:rPr>
          <w:rFonts w:hint="eastAsia"/>
          <w:color w:val="000000" w:themeColor="text1"/>
          <w:sz w:val="28"/>
          <w:szCs w:val="28"/>
          <w14:textFill>
            <w14:solidFill>
              <w14:schemeClr w14:val="tx1"/>
            </w14:solidFill>
          </w14:textFill>
        </w:rPr>
        <w:t>API两种</w:t>
      </w:r>
      <w:r>
        <w:rPr>
          <w:color w:val="000000" w:themeColor="text1"/>
          <w:sz w:val="28"/>
          <w:szCs w:val="28"/>
          <w14:textFill>
            <w14:solidFill>
              <w14:schemeClr w14:val="tx1"/>
            </w14:solidFill>
          </w14:textFill>
        </w:rPr>
        <w:t>协议类型订阅</w:t>
      </w:r>
      <w:r>
        <w:rPr>
          <w:rFonts w:hint="eastAsia"/>
          <w:color w:val="000000" w:themeColor="text1"/>
          <w:sz w:val="28"/>
          <w:szCs w:val="28"/>
          <w14:textFill>
            <w14:solidFill>
              <w14:schemeClr w14:val="tx1"/>
            </w14:solidFill>
          </w14:textFill>
        </w:rPr>
        <w:t>。</w:t>
      </w:r>
    </w:p>
    <w:p w14:paraId="2B02430E">
      <w:pPr>
        <w:pStyle w:val="17"/>
        <w:tabs>
          <w:tab w:val="left" w:pos="1296"/>
        </w:tabs>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ETL服务</w:t>
      </w:r>
    </w:p>
    <w:p w14:paraId="06E741A4">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1、发布ETL服务：按照基本信息（服务名称、目录、业务分类、信息节点、发布机构、接口地址）和请求设置（请求方式、认证方式、参数定义）这些信息填</w:t>
      </w:r>
      <w:r>
        <w:rPr>
          <w:rFonts w:hint="eastAsia"/>
          <w:color w:val="000000" w:themeColor="text1"/>
          <w:sz w:val="28"/>
          <w:szCs w:val="28"/>
          <w:lang w:eastAsia="zh-Hans"/>
          <w14:textFill>
            <w14:solidFill>
              <w14:schemeClr w14:val="tx1"/>
            </w14:solidFill>
          </w14:textFill>
        </w:rPr>
        <w:t>写后点击发布形成一个服务，供用户订阅和调阅</w:t>
      </w:r>
      <w:r>
        <w:rPr>
          <w:rFonts w:hint="eastAsia"/>
          <w:color w:val="000000" w:themeColor="text1"/>
          <w:sz w:val="28"/>
          <w:szCs w:val="28"/>
          <w14:textFill>
            <w14:solidFill>
              <w14:schemeClr w14:val="tx1"/>
            </w14:solidFill>
          </w14:textFill>
        </w:rPr>
        <w:t>。</w:t>
      </w:r>
    </w:p>
    <w:p w14:paraId="5A684AB8">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2、E</w:t>
      </w:r>
      <w:r>
        <w:rPr>
          <w:color w:val="000000" w:themeColor="text1"/>
          <w:sz w:val="28"/>
          <w:szCs w:val="28"/>
          <w14:textFill>
            <w14:solidFill>
              <w14:schemeClr w14:val="tx1"/>
            </w14:solidFill>
          </w14:textFill>
        </w:rPr>
        <w:t>TL</w:t>
      </w:r>
      <w:r>
        <w:rPr>
          <w:rFonts w:hint="eastAsia"/>
          <w:color w:val="000000" w:themeColor="text1"/>
          <w:sz w:val="28"/>
          <w:szCs w:val="28"/>
          <w14:textFill>
            <w14:solidFill>
              <w14:schemeClr w14:val="tx1"/>
            </w14:solidFill>
          </w14:textFill>
        </w:rPr>
        <w:t>服务状态</w:t>
      </w:r>
      <w:r>
        <w:rPr>
          <w:color w:val="000000" w:themeColor="text1"/>
          <w:sz w:val="28"/>
          <w:szCs w:val="28"/>
          <w14:textFill>
            <w14:solidFill>
              <w14:schemeClr w14:val="tx1"/>
            </w14:solidFill>
          </w14:textFill>
        </w:rPr>
        <w:t>包括</w:t>
      </w:r>
      <w:r>
        <w:rPr>
          <w:rFonts w:hint="eastAsia"/>
          <w:color w:val="000000" w:themeColor="text1"/>
          <w:sz w:val="28"/>
          <w:szCs w:val="28"/>
          <w14:textFill>
            <w14:solidFill>
              <w14:schemeClr w14:val="tx1"/>
            </w14:solidFill>
          </w14:textFill>
        </w:rPr>
        <w:t>订阅、订阅审核中、已订阅。</w:t>
      </w:r>
    </w:p>
    <w:p w14:paraId="7312B743">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3、支持</w:t>
      </w:r>
      <w:r>
        <w:rPr>
          <w:color w:val="000000" w:themeColor="text1"/>
          <w:sz w:val="28"/>
          <w:szCs w:val="28"/>
          <w14:textFill>
            <w14:solidFill>
              <w14:schemeClr w14:val="tx1"/>
            </w14:solidFill>
          </w14:textFill>
        </w:rPr>
        <w:t>展示</w:t>
      </w:r>
      <w:r>
        <w:rPr>
          <w:rFonts w:hint="eastAsia"/>
          <w:color w:val="000000" w:themeColor="text1"/>
          <w:sz w:val="28"/>
          <w:szCs w:val="28"/>
          <w14:textFill>
            <w14:solidFill>
              <w14:schemeClr w14:val="tx1"/>
            </w14:solidFill>
          </w14:textFill>
        </w:rPr>
        <w:t>ETL服务详情息。</w:t>
      </w:r>
    </w:p>
    <w:p w14:paraId="60B31981">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4、数据服务首页支持E</w:t>
      </w:r>
      <w:r>
        <w:rPr>
          <w:color w:val="000000" w:themeColor="text1"/>
          <w:sz w:val="28"/>
          <w:szCs w:val="28"/>
          <w14:textFill>
            <w14:solidFill>
              <w14:schemeClr w14:val="tx1"/>
            </w14:solidFill>
          </w14:textFill>
        </w:rPr>
        <w:t>TL服务订阅</w:t>
      </w:r>
      <w:r>
        <w:rPr>
          <w:rFonts w:hint="eastAsia"/>
          <w:color w:val="000000" w:themeColor="text1"/>
          <w:sz w:val="28"/>
          <w:szCs w:val="28"/>
          <w14:textFill>
            <w14:solidFill>
              <w14:schemeClr w14:val="tx1"/>
            </w14:solidFill>
          </w14:textFill>
        </w:rPr>
        <w:t>。</w:t>
      </w:r>
    </w:p>
    <w:p w14:paraId="1B159982">
      <w:pPr>
        <w:pStyle w:val="6"/>
        <w:ind w:firstLine="562"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订阅管理</w:t>
      </w:r>
    </w:p>
    <w:p w14:paraId="0202AD11">
      <w:pPr>
        <w:pStyle w:val="17"/>
        <w:tabs>
          <w:tab w:val="left" w:pos="1296"/>
        </w:tabs>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用户</w:t>
      </w:r>
      <w:r>
        <w:rPr>
          <w:color w:val="000000" w:themeColor="text1"/>
          <w:sz w:val="28"/>
          <w:szCs w:val="28"/>
          <w14:textFill>
            <w14:solidFill>
              <w14:schemeClr w14:val="tx1"/>
            </w14:solidFill>
          </w14:textFill>
        </w:rPr>
        <w:t>管理</w:t>
      </w:r>
    </w:p>
    <w:p w14:paraId="3DC7A2EE">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平台支持对于所有交换的服务进行统一配置管理，可以通过可视化页面实现交互服务订阅管理功能，通过页面提供订阅服务所需信息，管理员审核通过后，可以获取对应服务token，实现订阅服务权限验证。</w:t>
      </w:r>
    </w:p>
    <w:p w14:paraId="59CB8645">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支持用户对订阅任务的状态等详情信息进行查看，并启用未运行或禁用正在运行的订阅任务，同时支持退订操作。</w:t>
      </w:r>
    </w:p>
    <w:p w14:paraId="70DBA013">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支持服务总数统计、服务订阅次数统计、总用户量统计、待审批量统计（有审批权限的才能看到）、服务发布方占比统计、发布订阅分析当前月统计、服务分析当前月统计的</w:t>
      </w:r>
      <w:r>
        <w:rPr>
          <w:color w:val="000000" w:themeColor="text1"/>
          <w:sz w:val="28"/>
          <w:szCs w:val="28"/>
          <w14:textFill>
            <w14:solidFill>
              <w14:schemeClr w14:val="tx1"/>
            </w14:solidFill>
          </w14:textFill>
        </w:rPr>
        <w:t>统计信息展示。</w:t>
      </w:r>
    </w:p>
    <w:p w14:paraId="0367D99A">
      <w:pPr>
        <w:pStyle w:val="17"/>
        <w:tabs>
          <w:tab w:val="left" w:pos="1296"/>
        </w:tabs>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服务订阅管理</w:t>
      </w:r>
    </w:p>
    <w:p w14:paraId="2A0F874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服务订阅管理列表</w:t>
      </w:r>
      <w:r>
        <w:rPr>
          <w:color w:val="000000" w:themeColor="text1"/>
          <w:sz w:val="28"/>
          <w:szCs w:val="28"/>
          <w14:textFill>
            <w14:solidFill>
              <w14:schemeClr w14:val="tx1"/>
            </w14:solidFill>
          </w14:textFill>
        </w:rPr>
        <w:t>展示</w:t>
      </w:r>
      <w:r>
        <w:rPr>
          <w:rFonts w:hint="eastAsia"/>
          <w:color w:val="000000" w:themeColor="text1"/>
          <w:sz w:val="28"/>
          <w:szCs w:val="28"/>
          <w14:textFill>
            <w14:solidFill>
              <w14:schemeClr w14:val="tx1"/>
            </w14:solidFill>
          </w14:textFill>
        </w:rPr>
        <w:t>平台管理</w:t>
      </w:r>
      <w:r>
        <w:rPr>
          <w:color w:val="000000" w:themeColor="text1"/>
          <w:sz w:val="28"/>
          <w:szCs w:val="28"/>
          <w14:textFill>
            <w14:solidFill>
              <w14:schemeClr w14:val="tx1"/>
            </w14:solidFill>
          </w14:textFill>
        </w:rPr>
        <w:t>的所有服务</w:t>
      </w:r>
      <w:r>
        <w:rPr>
          <w:rFonts w:hint="eastAsia"/>
          <w:color w:val="000000" w:themeColor="text1"/>
          <w:sz w:val="28"/>
          <w:szCs w:val="28"/>
          <w14:textFill>
            <w14:solidFill>
              <w14:schemeClr w14:val="tx1"/>
            </w14:solidFill>
          </w14:textFill>
        </w:rPr>
        <w:t>信息。</w:t>
      </w:r>
    </w:p>
    <w:p w14:paraId="29C78327">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展示包括服务名称、服务类型、目录、发布机构、发布时间、状态信息。</w:t>
      </w:r>
    </w:p>
    <w:p w14:paraId="1D734079">
      <w:pPr>
        <w:ind w:firstLine="560" w:firstLineChars="200"/>
        <w:rPr>
          <w:color w:val="000000" w:themeColor="text1"/>
          <w:sz w:val="28"/>
          <w:szCs w:val="28"/>
          <w14:textFill>
            <w14:solidFill>
              <w14:schemeClr w14:val="tx1"/>
            </w14:solidFill>
          </w14:textFill>
        </w:rPr>
      </w:pPr>
      <w:r>
        <w:rPr>
          <w:rFonts w:hint="eastAsia"/>
          <w:color w:val="000000" w:themeColor="text1"/>
          <w:sz w:val="28"/>
          <w:szCs w:val="28"/>
          <w14:textFill>
            <w14:solidFill>
              <w14:schemeClr w14:val="tx1"/>
            </w14:solidFill>
          </w14:textFill>
        </w:rPr>
        <w:t>支持根据</w:t>
      </w:r>
      <w:r>
        <w:rPr>
          <w:color w:val="000000" w:themeColor="text1"/>
          <w:sz w:val="28"/>
          <w:szCs w:val="28"/>
          <w14:textFill>
            <w14:solidFill>
              <w14:schemeClr w14:val="tx1"/>
            </w14:solidFill>
          </w14:textFill>
        </w:rPr>
        <w:t>服务名称</w:t>
      </w:r>
      <w:r>
        <w:rPr>
          <w:rFonts w:hint="eastAsia"/>
          <w:color w:val="000000" w:themeColor="text1"/>
          <w:sz w:val="28"/>
          <w:szCs w:val="28"/>
          <w14:textFill>
            <w14:solidFill>
              <w14:schemeClr w14:val="tx1"/>
            </w14:solidFill>
          </w14:textFill>
        </w:rPr>
        <w:t>、</w:t>
      </w:r>
      <w:r>
        <w:rPr>
          <w:color w:val="000000" w:themeColor="text1"/>
          <w:sz w:val="28"/>
          <w:szCs w:val="28"/>
          <w14:textFill>
            <w14:solidFill>
              <w14:schemeClr w14:val="tx1"/>
            </w14:solidFill>
          </w14:textFill>
        </w:rPr>
        <w:t>服务</w:t>
      </w:r>
      <w:r>
        <w:rPr>
          <w:rFonts w:hint="eastAsia"/>
          <w:color w:val="000000" w:themeColor="text1"/>
          <w:sz w:val="28"/>
          <w:szCs w:val="28"/>
          <w14:textFill>
            <w14:solidFill>
              <w14:schemeClr w14:val="tx1"/>
            </w14:solidFill>
          </w14:textFill>
        </w:rPr>
        <w:t>类型</w:t>
      </w:r>
      <w:r>
        <w:rPr>
          <w:color w:val="000000" w:themeColor="text1"/>
          <w:sz w:val="28"/>
          <w:szCs w:val="28"/>
          <w14:textFill>
            <w14:solidFill>
              <w14:schemeClr w14:val="tx1"/>
            </w14:solidFill>
          </w14:textFill>
        </w:rPr>
        <w:t>、</w:t>
      </w:r>
      <w:r>
        <w:rPr>
          <w:rFonts w:hint="eastAsia"/>
          <w:color w:val="000000" w:themeColor="text1"/>
          <w:sz w:val="28"/>
          <w:szCs w:val="28"/>
          <w14:textFill>
            <w14:solidFill>
              <w14:schemeClr w14:val="tx1"/>
            </w14:solidFill>
          </w14:textFill>
        </w:rPr>
        <w:t>发布</w:t>
      </w:r>
      <w:r>
        <w:rPr>
          <w:color w:val="000000" w:themeColor="text1"/>
          <w:sz w:val="28"/>
          <w:szCs w:val="28"/>
          <w14:textFill>
            <w14:solidFill>
              <w14:schemeClr w14:val="tx1"/>
            </w14:solidFill>
          </w14:textFill>
        </w:rPr>
        <w:t>机构、</w:t>
      </w:r>
      <w:r>
        <w:rPr>
          <w:rFonts w:hint="eastAsia"/>
          <w:color w:val="000000" w:themeColor="text1"/>
          <w:sz w:val="28"/>
          <w:szCs w:val="28"/>
          <w14:textFill>
            <w14:solidFill>
              <w14:schemeClr w14:val="tx1"/>
            </w14:solidFill>
          </w14:textFill>
        </w:rPr>
        <w:t>状态进行条件</w:t>
      </w:r>
      <w:r>
        <w:rPr>
          <w:color w:val="000000" w:themeColor="text1"/>
          <w:sz w:val="28"/>
          <w:szCs w:val="28"/>
          <w14:textFill>
            <w14:solidFill>
              <w14:schemeClr w14:val="tx1"/>
            </w14:solidFill>
          </w14:textFill>
        </w:rPr>
        <w:t>查询</w:t>
      </w:r>
      <w:r>
        <w:rPr>
          <w:rFonts w:hint="eastAsia"/>
          <w:color w:val="000000" w:themeColor="text1"/>
          <w:sz w:val="28"/>
          <w:szCs w:val="28"/>
          <w14:textFill>
            <w14:solidFill>
              <w14:schemeClr w14:val="tx1"/>
            </w14:solidFill>
          </w14:textFill>
        </w:rPr>
        <w:t>、按照订阅/调阅关系进行操作。</w:t>
      </w:r>
    </w:p>
    <w:p w14:paraId="2924898D">
      <w:pPr>
        <w:ind w:firstLine="480"/>
        <w:rPr>
          <w:color w:val="000000" w:themeColor="text1"/>
          <w14:textFill>
            <w14:solidFill>
              <w14:schemeClr w14:val="tx1"/>
            </w14:solidFill>
          </w14:textFill>
        </w:rPr>
      </w:pPr>
    </w:p>
    <w:p w14:paraId="3B14B74E">
      <w:pPr>
        <w:pStyle w:val="4"/>
        <w:bidi w:val="0"/>
        <w:rPr>
          <w:rFonts w:hint="eastAsia"/>
          <w:lang w:val="en-US" w:eastAsia="zh-CN"/>
        </w:rPr>
      </w:pPr>
      <w:bookmarkStart w:id="3" w:name="_Toc10451"/>
      <w:r>
        <w:rPr>
          <w:rFonts w:hint="eastAsia"/>
          <w:lang w:val="en-US" w:eastAsia="zh-CN"/>
        </w:rPr>
        <w:t>功能应用维护</w:t>
      </w:r>
      <w:bookmarkEnd w:id="3"/>
    </w:p>
    <w:p w14:paraId="5F5BC937">
      <w:pPr>
        <w:pStyle w:val="5"/>
        <w:bidi w:val="0"/>
        <w:rPr>
          <w:rFonts w:hint="eastAsia"/>
          <w:lang w:val="en-US" w:eastAsia="zh-CN"/>
        </w:rPr>
      </w:pPr>
      <w:bookmarkStart w:id="4" w:name="_Toc13017"/>
      <w:r>
        <w:rPr>
          <w:rFonts w:hint="eastAsia"/>
          <w:lang w:val="en-US" w:eastAsia="zh-CN"/>
        </w:rPr>
        <w:t>服务内容</w:t>
      </w:r>
      <w:bookmarkEnd w:id="4"/>
    </w:p>
    <w:tbl>
      <w:tblPr>
        <w:tblStyle w:val="18"/>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28" w:type="dxa"/>
          <w:bottom w:w="0" w:type="dxa"/>
          <w:right w:w="28" w:type="dxa"/>
        </w:tblCellMar>
      </w:tblPr>
      <w:tblGrid>
        <w:gridCol w:w="374"/>
        <w:gridCol w:w="1132"/>
        <w:gridCol w:w="3173"/>
        <w:gridCol w:w="1661"/>
        <w:gridCol w:w="1065"/>
        <w:gridCol w:w="957"/>
      </w:tblGrid>
      <w:tr w14:paraId="563D6A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5000" w:type="pct"/>
            <w:gridSpan w:val="6"/>
            <w:tcBorders>
              <w:tl2br w:val="nil"/>
              <w:tr2bl w:val="nil"/>
            </w:tcBorders>
            <w:noWrap w:val="0"/>
            <w:vAlign w:val="center"/>
          </w:tcPr>
          <w:p w14:paraId="0885C212">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lang w:val="zh-CN"/>
              </w:rPr>
              <w:t>功能应用维护</w:t>
            </w:r>
          </w:p>
        </w:tc>
      </w:tr>
      <w:tr w14:paraId="148B5D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679" w:hRule="atLeast"/>
          <w:jc w:val="center"/>
        </w:trPr>
        <w:tc>
          <w:tcPr>
            <w:tcW w:w="224" w:type="pct"/>
            <w:tcBorders>
              <w:tl2br w:val="nil"/>
              <w:tr2bl w:val="nil"/>
            </w:tcBorders>
            <w:noWrap w:val="0"/>
            <w:vAlign w:val="center"/>
          </w:tcPr>
          <w:p w14:paraId="3E44BDF5">
            <w:pPr>
              <w:bidi w:val="0"/>
              <w:spacing w:line="360" w:lineRule="auto"/>
              <w:ind w:left="0" w:leftChars="0" w:firstLine="0" w:firstLineChars="0"/>
              <w:jc w:val="both"/>
              <w:rPr>
                <w:rFonts w:hint="eastAsia" w:ascii="宋体" w:hAnsi="宋体" w:eastAsia="宋体" w:cs="宋体"/>
                <w:sz w:val="24"/>
                <w:szCs w:val="24"/>
                <w:lang w:val="en-US" w:eastAsia="zh-CN"/>
              </w:rPr>
            </w:pPr>
            <w:r>
              <w:rPr>
                <w:rFonts w:hint="eastAsia" w:ascii="宋体" w:hAnsi="宋体" w:eastAsia="宋体" w:cs="宋体"/>
                <w:sz w:val="24"/>
                <w:szCs w:val="24"/>
                <w:lang w:val="zh-CN"/>
              </w:rPr>
              <w:br w:type="page"/>
            </w:r>
            <w:r>
              <w:rPr>
                <w:rFonts w:hint="eastAsia" w:ascii="宋体" w:hAnsi="宋体" w:eastAsia="宋体" w:cs="宋体"/>
                <w:sz w:val="24"/>
                <w:szCs w:val="24"/>
                <w:lang w:val="zh-CN"/>
              </w:rPr>
              <w:t>序</w:t>
            </w:r>
            <w:r>
              <w:rPr>
                <w:rFonts w:hint="eastAsia" w:ascii="宋体" w:hAnsi="宋体" w:eastAsia="宋体" w:cs="宋体"/>
                <w:sz w:val="24"/>
                <w:szCs w:val="24"/>
                <w:lang w:val="en-US" w:eastAsia="zh-CN"/>
              </w:rPr>
              <w:t>号</w:t>
            </w:r>
          </w:p>
        </w:tc>
        <w:tc>
          <w:tcPr>
            <w:tcW w:w="677" w:type="pct"/>
            <w:tcBorders>
              <w:tl2br w:val="nil"/>
              <w:tr2bl w:val="nil"/>
            </w:tcBorders>
            <w:noWrap w:val="0"/>
            <w:vAlign w:val="center"/>
          </w:tcPr>
          <w:p w14:paraId="095E7933">
            <w:pPr>
              <w:bidi w:val="0"/>
              <w:spacing w:line="360" w:lineRule="auto"/>
              <w:ind w:left="0" w:leftChars="0" w:firstLine="0" w:firstLineChars="0"/>
              <w:jc w:val="center"/>
              <w:rPr>
                <w:rFonts w:hint="eastAsia" w:ascii="宋体" w:hAnsi="宋体" w:eastAsia="宋体" w:cs="宋体"/>
                <w:sz w:val="24"/>
                <w:szCs w:val="24"/>
                <w:lang w:val="zh-CN"/>
              </w:rPr>
            </w:pPr>
            <w:r>
              <w:rPr>
                <w:rFonts w:hint="eastAsia" w:ascii="宋体" w:hAnsi="宋体" w:eastAsia="宋体" w:cs="宋体"/>
                <w:sz w:val="24"/>
                <w:szCs w:val="24"/>
                <w:lang w:val="zh-CN"/>
              </w:rPr>
              <w:t>服务项目</w:t>
            </w:r>
          </w:p>
        </w:tc>
        <w:tc>
          <w:tcPr>
            <w:tcW w:w="1897" w:type="pct"/>
            <w:tcBorders>
              <w:tl2br w:val="nil"/>
              <w:tr2bl w:val="nil"/>
            </w:tcBorders>
            <w:noWrap w:val="0"/>
            <w:vAlign w:val="center"/>
          </w:tcPr>
          <w:p w14:paraId="1AF342AF">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服务内容</w:t>
            </w:r>
          </w:p>
        </w:tc>
        <w:tc>
          <w:tcPr>
            <w:tcW w:w="993" w:type="pct"/>
            <w:tcBorders>
              <w:tl2br w:val="nil"/>
              <w:tr2bl w:val="nil"/>
            </w:tcBorders>
            <w:noWrap w:val="0"/>
            <w:vAlign w:val="center"/>
          </w:tcPr>
          <w:p w14:paraId="002DC508">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服务方式</w:t>
            </w:r>
          </w:p>
        </w:tc>
        <w:tc>
          <w:tcPr>
            <w:tcW w:w="637" w:type="pct"/>
            <w:tcBorders>
              <w:tl2br w:val="nil"/>
              <w:tr2bl w:val="nil"/>
            </w:tcBorders>
            <w:noWrap w:val="0"/>
            <w:vAlign w:val="center"/>
          </w:tcPr>
          <w:p w14:paraId="3B98AC3B">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t>响应时间</w:t>
            </w:r>
          </w:p>
        </w:tc>
        <w:tc>
          <w:tcPr>
            <w:tcW w:w="569" w:type="pct"/>
            <w:tcBorders>
              <w:tl2br w:val="nil"/>
              <w:tr2bl w:val="nil"/>
            </w:tcBorders>
            <w:noWrap w:val="0"/>
            <w:vAlign w:val="center"/>
          </w:tcPr>
          <w:p w14:paraId="7226EE0C">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cs="宋体"/>
                <w:sz w:val="24"/>
                <w:szCs w:val="24"/>
                <w:lang w:val="en-US" w:eastAsia="zh-CN"/>
              </w:rPr>
              <w:t>备注</w:t>
            </w:r>
          </w:p>
        </w:tc>
      </w:tr>
      <w:tr w14:paraId="579D6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706" w:hRule="atLeast"/>
          <w:jc w:val="center"/>
        </w:trPr>
        <w:tc>
          <w:tcPr>
            <w:tcW w:w="224" w:type="pct"/>
            <w:tcBorders>
              <w:tl2br w:val="nil"/>
              <w:tr2bl w:val="nil"/>
            </w:tcBorders>
            <w:noWrap w:val="0"/>
            <w:vAlign w:val="center"/>
          </w:tcPr>
          <w:p w14:paraId="70B6A87E">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c>
          <w:tcPr>
            <w:tcW w:w="677" w:type="pct"/>
            <w:tcBorders>
              <w:tl2br w:val="nil"/>
              <w:tr2bl w:val="nil"/>
            </w:tcBorders>
            <w:noWrap w:val="0"/>
            <w:vAlign w:val="center"/>
          </w:tcPr>
          <w:p w14:paraId="20986EF5">
            <w:pPr>
              <w:bidi w:val="0"/>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咨询服务</w:t>
            </w:r>
          </w:p>
        </w:tc>
        <w:tc>
          <w:tcPr>
            <w:tcW w:w="1897" w:type="pct"/>
            <w:tcBorders>
              <w:tl2br w:val="nil"/>
              <w:tr2bl w:val="nil"/>
            </w:tcBorders>
            <w:noWrap w:val="0"/>
            <w:vAlign w:val="center"/>
          </w:tcPr>
          <w:p w14:paraId="40A991A9">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软件功能的应用咨询</w:t>
            </w:r>
          </w:p>
        </w:tc>
        <w:tc>
          <w:tcPr>
            <w:tcW w:w="993" w:type="pct"/>
            <w:tcBorders>
              <w:tl2br w:val="nil"/>
              <w:tr2bl w:val="nil"/>
            </w:tcBorders>
            <w:noWrap w:val="0"/>
            <w:vAlign w:val="center"/>
          </w:tcPr>
          <w:p w14:paraId="4D4AC19D">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5A404D4A">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1小时内响应</w:t>
            </w:r>
          </w:p>
        </w:tc>
        <w:tc>
          <w:tcPr>
            <w:tcW w:w="569" w:type="pct"/>
            <w:tcBorders>
              <w:tl2br w:val="nil"/>
              <w:tr2bl w:val="nil"/>
            </w:tcBorders>
            <w:noWrap w:val="0"/>
            <w:vAlign w:val="center"/>
          </w:tcPr>
          <w:p w14:paraId="29ECFB47">
            <w:pPr>
              <w:bidi w:val="0"/>
              <w:spacing w:line="360" w:lineRule="auto"/>
              <w:rPr>
                <w:rFonts w:hint="eastAsia" w:ascii="宋体" w:hAnsi="宋体" w:eastAsia="宋体" w:cs="宋体"/>
                <w:sz w:val="24"/>
                <w:szCs w:val="24"/>
              </w:rPr>
            </w:pPr>
          </w:p>
        </w:tc>
      </w:tr>
      <w:tr w14:paraId="6FB092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972" w:hRule="atLeast"/>
          <w:jc w:val="center"/>
        </w:trPr>
        <w:tc>
          <w:tcPr>
            <w:tcW w:w="224" w:type="pct"/>
            <w:tcBorders>
              <w:tl2br w:val="nil"/>
              <w:tr2bl w:val="nil"/>
            </w:tcBorders>
            <w:noWrap w:val="0"/>
            <w:vAlign w:val="center"/>
          </w:tcPr>
          <w:p w14:paraId="648267EE">
            <w:pPr>
              <w:bidi w:val="0"/>
              <w:spacing w:line="360" w:lineRule="auto"/>
              <w:rPr>
                <w:rFonts w:hint="eastAsia" w:ascii="宋体" w:hAnsi="宋体" w:eastAsia="宋体" w:cs="宋体"/>
                <w:sz w:val="24"/>
                <w:szCs w:val="24"/>
              </w:rPr>
            </w:pPr>
            <w:r>
              <w:rPr>
                <w:rFonts w:hint="eastAsia" w:ascii="宋体" w:hAnsi="宋体" w:eastAsia="宋体" w:cs="宋体"/>
                <w:sz w:val="24"/>
                <w:szCs w:val="24"/>
              </w:rPr>
              <w:t>2</w:t>
            </w:r>
          </w:p>
        </w:tc>
        <w:tc>
          <w:tcPr>
            <w:tcW w:w="677" w:type="pct"/>
            <w:tcBorders>
              <w:tl2br w:val="nil"/>
              <w:tr2bl w:val="nil"/>
            </w:tcBorders>
            <w:noWrap w:val="0"/>
            <w:vAlign w:val="center"/>
          </w:tcPr>
          <w:p w14:paraId="30DC699F">
            <w:pPr>
              <w:bidi w:val="0"/>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rPr>
              <w:t>故障排除</w:t>
            </w:r>
          </w:p>
        </w:tc>
        <w:tc>
          <w:tcPr>
            <w:tcW w:w="1897" w:type="pct"/>
            <w:tcBorders>
              <w:tl2br w:val="nil"/>
              <w:tr2bl w:val="nil"/>
            </w:tcBorders>
            <w:noWrap w:val="0"/>
            <w:vAlign w:val="center"/>
          </w:tcPr>
          <w:p w14:paraId="7DD00750">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软件应用过程中出现功能错误时，协助查找、排除软件故障，保证系统功能正常运行。</w:t>
            </w:r>
          </w:p>
        </w:tc>
        <w:tc>
          <w:tcPr>
            <w:tcW w:w="993" w:type="pct"/>
            <w:tcBorders>
              <w:tl2br w:val="nil"/>
              <w:tr2bl w:val="nil"/>
            </w:tcBorders>
            <w:noWrap w:val="0"/>
            <w:vAlign w:val="center"/>
          </w:tcPr>
          <w:p w14:paraId="5E7D6091">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300E0B64">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69" w:type="pct"/>
            <w:tcBorders>
              <w:tl2br w:val="nil"/>
              <w:tr2bl w:val="nil"/>
            </w:tcBorders>
            <w:noWrap w:val="0"/>
            <w:vAlign w:val="center"/>
          </w:tcPr>
          <w:p w14:paraId="6213C3F8">
            <w:pPr>
              <w:bidi w:val="0"/>
              <w:spacing w:line="360" w:lineRule="auto"/>
              <w:rPr>
                <w:rFonts w:hint="eastAsia" w:ascii="宋体" w:hAnsi="宋体" w:eastAsia="宋体" w:cs="宋体"/>
                <w:sz w:val="24"/>
                <w:szCs w:val="24"/>
              </w:rPr>
            </w:pPr>
          </w:p>
        </w:tc>
      </w:tr>
      <w:tr w14:paraId="3062B0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224" w:type="pct"/>
            <w:tcBorders>
              <w:tl2br w:val="nil"/>
              <w:tr2bl w:val="nil"/>
            </w:tcBorders>
            <w:noWrap w:val="0"/>
            <w:vAlign w:val="center"/>
          </w:tcPr>
          <w:p w14:paraId="5D903174">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3</w:t>
            </w:r>
          </w:p>
        </w:tc>
        <w:tc>
          <w:tcPr>
            <w:tcW w:w="677" w:type="pct"/>
            <w:tcBorders>
              <w:tl2br w:val="nil"/>
              <w:tr2bl w:val="nil"/>
            </w:tcBorders>
            <w:noWrap w:val="0"/>
            <w:vAlign w:val="center"/>
          </w:tcPr>
          <w:p w14:paraId="3EA484DE">
            <w:pPr>
              <w:bidi w:val="0"/>
              <w:spacing w:line="360" w:lineRule="auto"/>
              <w:ind w:left="0" w:leftChars="0" w:firstLine="0" w:firstLineChars="0"/>
              <w:jc w:val="center"/>
              <w:rPr>
                <w:rFonts w:hint="eastAsia" w:ascii="宋体" w:hAnsi="宋体" w:eastAsia="宋体" w:cs="宋体"/>
                <w:sz w:val="24"/>
                <w:szCs w:val="24"/>
                <w:lang w:val="zh-CN"/>
              </w:rPr>
            </w:pPr>
            <w:r>
              <w:rPr>
                <w:rFonts w:hint="eastAsia" w:ascii="宋体" w:hAnsi="宋体" w:eastAsia="宋体" w:cs="宋体"/>
                <w:sz w:val="24"/>
                <w:szCs w:val="24"/>
                <w:lang w:val="zh-CN"/>
              </w:rPr>
              <w:t>报表维护</w:t>
            </w:r>
          </w:p>
        </w:tc>
        <w:tc>
          <w:tcPr>
            <w:tcW w:w="1897" w:type="pct"/>
            <w:tcBorders>
              <w:tl2br w:val="nil"/>
              <w:tr2bl w:val="nil"/>
            </w:tcBorders>
            <w:noWrap w:val="0"/>
            <w:vAlign w:val="center"/>
          </w:tcPr>
          <w:p w14:paraId="26267EA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现有报表格式、数据调整、修改；</w:t>
            </w:r>
          </w:p>
          <w:p w14:paraId="50D91B8D">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从系统现有数据中新增报表，报表数据需要从第三方系统中提取的，需要评估工作量，并需要第三方人员配合。</w:t>
            </w:r>
          </w:p>
        </w:tc>
        <w:tc>
          <w:tcPr>
            <w:tcW w:w="993" w:type="pct"/>
            <w:tcBorders>
              <w:tl2br w:val="nil"/>
              <w:tr2bl w:val="nil"/>
            </w:tcBorders>
            <w:noWrap w:val="0"/>
            <w:vAlign w:val="center"/>
          </w:tcPr>
          <w:p w14:paraId="57454F07">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3511C0E8">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69" w:type="pct"/>
            <w:tcBorders>
              <w:tl2br w:val="nil"/>
              <w:tr2bl w:val="nil"/>
            </w:tcBorders>
            <w:noWrap w:val="0"/>
            <w:vAlign w:val="center"/>
          </w:tcPr>
          <w:p w14:paraId="578CCF16">
            <w:pPr>
              <w:bidi w:val="0"/>
              <w:spacing w:line="360" w:lineRule="auto"/>
              <w:rPr>
                <w:rFonts w:hint="eastAsia" w:ascii="宋体" w:hAnsi="宋体" w:eastAsia="宋体" w:cs="宋体"/>
                <w:sz w:val="24"/>
                <w:szCs w:val="24"/>
              </w:rPr>
            </w:pPr>
          </w:p>
        </w:tc>
      </w:tr>
      <w:tr w14:paraId="6F601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224" w:type="pct"/>
            <w:tcBorders>
              <w:tl2br w:val="nil"/>
              <w:tr2bl w:val="nil"/>
            </w:tcBorders>
            <w:noWrap w:val="0"/>
            <w:vAlign w:val="center"/>
          </w:tcPr>
          <w:p w14:paraId="223967EA">
            <w:pPr>
              <w:bidi w:val="0"/>
              <w:spacing w:line="360" w:lineRule="auto"/>
              <w:rPr>
                <w:rFonts w:hint="eastAsia" w:ascii="宋体" w:hAnsi="宋体" w:eastAsia="宋体" w:cs="宋体"/>
                <w:sz w:val="24"/>
                <w:szCs w:val="24"/>
              </w:rPr>
            </w:pPr>
            <w:r>
              <w:rPr>
                <w:rFonts w:hint="eastAsia" w:ascii="宋体" w:hAnsi="宋体" w:eastAsia="宋体" w:cs="宋体"/>
                <w:sz w:val="24"/>
                <w:szCs w:val="24"/>
              </w:rPr>
              <w:t>4</w:t>
            </w:r>
          </w:p>
        </w:tc>
        <w:tc>
          <w:tcPr>
            <w:tcW w:w="677" w:type="pct"/>
            <w:tcBorders>
              <w:tl2br w:val="nil"/>
              <w:tr2bl w:val="nil"/>
            </w:tcBorders>
            <w:noWrap w:val="0"/>
            <w:vAlign w:val="center"/>
          </w:tcPr>
          <w:p w14:paraId="654CD0D3">
            <w:pPr>
              <w:bidi w:val="0"/>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zh-CN"/>
              </w:rPr>
              <w:t>需求变更</w:t>
            </w:r>
          </w:p>
        </w:tc>
        <w:tc>
          <w:tcPr>
            <w:tcW w:w="1897" w:type="pct"/>
            <w:tcBorders>
              <w:tl2br w:val="nil"/>
              <w:tr2bl w:val="nil"/>
            </w:tcBorders>
            <w:noWrap w:val="0"/>
            <w:vAlign w:val="center"/>
          </w:tcPr>
          <w:p w14:paraId="64402EC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已应用模块范围内的功能需求调整、修改。</w:t>
            </w:r>
          </w:p>
        </w:tc>
        <w:tc>
          <w:tcPr>
            <w:tcW w:w="993" w:type="pct"/>
            <w:tcBorders>
              <w:tl2br w:val="nil"/>
              <w:tr2bl w:val="nil"/>
            </w:tcBorders>
            <w:noWrap w:val="0"/>
            <w:vAlign w:val="center"/>
          </w:tcPr>
          <w:p w14:paraId="42F05639">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2660ED95">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69" w:type="pct"/>
            <w:tcBorders>
              <w:tl2br w:val="nil"/>
              <w:tr2bl w:val="nil"/>
            </w:tcBorders>
            <w:noWrap w:val="0"/>
            <w:vAlign w:val="center"/>
          </w:tcPr>
          <w:p w14:paraId="7F32207B">
            <w:pPr>
              <w:bidi w:val="0"/>
              <w:spacing w:line="360" w:lineRule="auto"/>
              <w:rPr>
                <w:rFonts w:hint="eastAsia" w:ascii="宋体" w:hAnsi="宋体" w:eastAsia="宋体" w:cs="宋体"/>
                <w:sz w:val="24"/>
                <w:szCs w:val="24"/>
              </w:rPr>
            </w:pPr>
          </w:p>
        </w:tc>
      </w:tr>
      <w:tr w14:paraId="4117A4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224" w:type="pct"/>
            <w:tcBorders>
              <w:tl2br w:val="nil"/>
              <w:tr2bl w:val="nil"/>
            </w:tcBorders>
            <w:noWrap w:val="0"/>
            <w:vAlign w:val="center"/>
          </w:tcPr>
          <w:p w14:paraId="098A5D04">
            <w:pPr>
              <w:bidi w:val="0"/>
              <w:spacing w:line="360" w:lineRule="auto"/>
              <w:rPr>
                <w:rFonts w:hint="eastAsia" w:ascii="宋体" w:hAnsi="宋体" w:eastAsia="宋体" w:cs="宋体"/>
                <w:sz w:val="24"/>
                <w:szCs w:val="24"/>
              </w:rPr>
            </w:pPr>
            <w:r>
              <w:rPr>
                <w:rFonts w:hint="eastAsia" w:ascii="宋体" w:hAnsi="宋体" w:eastAsia="宋体" w:cs="宋体"/>
                <w:sz w:val="24"/>
                <w:szCs w:val="24"/>
              </w:rPr>
              <w:t>5</w:t>
            </w:r>
          </w:p>
        </w:tc>
        <w:tc>
          <w:tcPr>
            <w:tcW w:w="677" w:type="pct"/>
            <w:tcBorders>
              <w:tl2br w:val="nil"/>
              <w:tr2bl w:val="nil"/>
            </w:tcBorders>
            <w:noWrap w:val="0"/>
            <w:vAlign w:val="center"/>
          </w:tcPr>
          <w:p w14:paraId="73AE44FF">
            <w:pPr>
              <w:bidi w:val="0"/>
              <w:spacing w:line="360" w:lineRule="auto"/>
              <w:ind w:left="0" w:leftChars="0" w:firstLine="0" w:firstLineChars="0"/>
              <w:jc w:val="center"/>
              <w:rPr>
                <w:rFonts w:hint="eastAsia" w:ascii="宋体" w:hAnsi="宋体" w:eastAsia="宋体" w:cs="宋体"/>
                <w:sz w:val="24"/>
                <w:szCs w:val="24"/>
              </w:rPr>
            </w:pPr>
            <w:r>
              <w:rPr>
                <w:rFonts w:hint="eastAsia" w:ascii="宋体" w:hAnsi="宋体" w:eastAsia="宋体" w:cs="宋体"/>
                <w:sz w:val="24"/>
                <w:szCs w:val="24"/>
                <w:lang w:val="zh-CN"/>
              </w:rPr>
              <w:t>日常维护</w:t>
            </w:r>
          </w:p>
        </w:tc>
        <w:tc>
          <w:tcPr>
            <w:tcW w:w="1897" w:type="pct"/>
            <w:tcBorders>
              <w:tl2br w:val="nil"/>
              <w:tr2bl w:val="nil"/>
            </w:tcBorders>
            <w:noWrap w:val="0"/>
            <w:vAlign w:val="center"/>
          </w:tcPr>
          <w:p w14:paraId="6D17503D">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协助院方建立日常维护记录，定期与院方系统管理人员共同检查系统运行情况，并形成系统维护记录制度和系统管理规范</w:t>
            </w:r>
          </w:p>
        </w:tc>
        <w:tc>
          <w:tcPr>
            <w:tcW w:w="993" w:type="pct"/>
            <w:tcBorders>
              <w:tl2br w:val="nil"/>
              <w:tr2bl w:val="nil"/>
            </w:tcBorders>
            <w:noWrap w:val="0"/>
            <w:vAlign w:val="center"/>
          </w:tcPr>
          <w:p w14:paraId="38597433">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5962F144">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69" w:type="pct"/>
            <w:tcBorders>
              <w:tl2br w:val="nil"/>
              <w:tr2bl w:val="nil"/>
            </w:tcBorders>
            <w:noWrap w:val="0"/>
            <w:vAlign w:val="center"/>
          </w:tcPr>
          <w:p w14:paraId="7DC8037B">
            <w:pPr>
              <w:bidi w:val="0"/>
              <w:spacing w:line="360" w:lineRule="auto"/>
              <w:rPr>
                <w:rFonts w:hint="eastAsia" w:ascii="宋体" w:hAnsi="宋体" w:eastAsia="宋体" w:cs="宋体"/>
                <w:sz w:val="24"/>
                <w:szCs w:val="24"/>
              </w:rPr>
            </w:pPr>
          </w:p>
        </w:tc>
      </w:tr>
    </w:tbl>
    <w:p w14:paraId="61A03175">
      <w:pPr>
        <w:pStyle w:val="5"/>
        <w:bidi w:val="0"/>
        <w:rPr>
          <w:rFonts w:hint="eastAsia"/>
          <w:lang w:val="en-US" w:eastAsia="zh-CN"/>
        </w:rPr>
      </w:pPr>
      <w:bookmarkStart w:id="5" w:name="_Toc10586"/>
      <w:r>
        <w:rPr>
          <w:rFonts w:hint="eastAsia"/>
          <w:lang w:val="en-US" w:eastAsia="zh-CN"/>
        </w:rPr>
        <w:t>服务范围</w:t>
      </w:r>
      <w:bookmarkEnd w:id="5"/>
    </w:p>
    <w:p w14:paraId="02E1AAE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公司承诺对目前院方已有的功能模块提供技术维护服务，详见表2。</w:t>
      </w:r>
    </w:p>
    <w:p w14:paraId="0AE2A9D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表2 技术服务范围</w:t>
      </w:r>
    </w:p>
    <w:tbl>
      <w:tblPr>
        <w:tblStyle w:val="18"/>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2"/>
        <w:gridCol w:w="2820"/>
        <w:gridCol w:w="3459"/>
        <w:gridCol w:w="1306"/>
      </w:tblGrid>
      <w:tr w14:paraId="2183C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25149E75">
            <w:pPr>
              <w:bidi w:val="0"/>
              <w:spacing w:line="360" w:lineRule="auto"/>
              <w:ind w:left="0" w:leftChars="0" w:firstLine="0" w:firstLineChars="0"/>
              <w:jc w:val="left"/>
              <w:rPr>
                <w:rFonts w:hint="eastAsia" w:ascii="宋体" w:hAnsi="宋体" w:eastAsia="宋体" w:cs="宋体"/>
                <w:sz w:val="24"/>
                <w:szCs w:val="24"/>
              </w:rPr>
            </w:pPr>
            <w:r>
              <w:rPr>
                <w:rFonts w:hint="eastAsia" w:ascii="宋体" w:hAnsi="宋体" w:eastAsia="宋体" w:cs="宋体"/>
                <w:sz w:val="24"/>
                <w:szCs w:val="24"/>
              </w:rPr>
              <w:t>序号</w:t>
            </w:r>
          </w:p>
        </w:tc>
        <w:tc>
          <w:tcPr>
            <w:tcW w:w="1655" w:type="pct"/>
            <w:noWrap w:val="0"/>
            <w:vAlign w:val="top"/>
          </w:tcPr>
          <w:p w14:paraId="4EC38619">
            <w:pPr>
              <w:bidi w:val="0"/>
              <w:spacing w:line="360" w:lineRule="auto"/>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项目名称</w:t>
            </w:r>
          </w:p>
        </w:tc>
        <w:tc>
          <w:tcPr>
            <w:tcW w:w="2030" w:type="pct"/>
            <w:noWrap w:val="0"/>
            <w:vAlign w:val="center"/>
          </w:tcPr>
          <w:p w14:paraId="1382AC13">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系统名称</w:t>
            </w:r>
          </w:p>
        </w:tc>
        <w:tc>
          <w:tcPr>
            <w:tcW w:w="766" w:type="pct"/>
            <w:noWrap w:val="0"/>
            <w:vAlign w:val="center"/>
          </w:tcPr>
          <w:p w14:paraId="01DDA85C">
            <w:pPr>
              <w:bidi w:val="0"/>
              <w:spacing w:line="360" w:lineRule="auto"/>
              <w:ind w:left="0" w:leftChars="0" w:firstLine="0" w:firstLineChars="0"/>
              <w:jc w:val="both"/>
              <w:rPr>
                <w:rFonts w:hint="eastAsia" w:ascii="宋体" w:hAnsi="宋体" w:eastAsia="宋体" w:cs="宋体"/>
                <w:sz w:val="24"/>
                <w:szCs w:val="24"/>
              </w:rPr>
            </w:pPr>
            <w:r>
              <w:rPr>
                <w:rFonts w:hint="eastAsia" w:ascii="宋体" w:hAnsi="宋体" w:eastAsia="宋体" w:cs="宋体"/>
                <w:sz w:val="24"/>
                <w:szCs w:val="24"/>
              </w:rPr>
              <w:t>数量（套）</w:t>
            </w:r>
          </w:p>
        </w:tc>
      </w:tr>
      <w:tr w14:paraId="4577E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1C29F6CE">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1</w:t>
            </w:r>
          </w:p>
        </w:tc>
        <w:tc>
          <w:tcPr>
            <w:tcW w:w="1655" w:type="pct"/>
            <w:vMerge w:val="restart"/>
            <w:noWrap w:val="0"/>
            <w:vAlign w:val="center"/>
          </w:tcPr>
          <w:p w14:paraId="6CFFF314">
            <w:pPr>
              <w:bidi w:val="0"/>
              <w:spacing w:line="360" w:lineRule="auto"/>
              <w:jc w:val="center"/>
              <w:rPr>
                <w:rFonts w:hint="eastAsia" w:ascii="宋体" w:hAnsi="宋体" w:eastAsia="宋体" w:cs="宋体"/>
                <w:sz w:val="24"/>
                <w:szCs w:val="24"/>
              </w:rPr>
            </w:pPr>
            <w:r>
              <w:rPr>
                <w:rFonts w:hint="eastAsia" w:ascii="宋体" w:hAnsi="宋体" w:eastAsia="宋体" w:cs="宋体"/>
                <w:sz w:val="24"/>
                <w:szCs w:val="24"/>
              </w:rPr>
              <w:t>医院信息平台</w:t>
            </w:r>
          </w:p>
        </w:tc>
        <w:tc>
          <w:tcPr>
            <w:tcW w:w="2030" w:type="pct"/>
            <w:noWrap w:val="0"/>
            <w:vAlign w:val="center"/>
          </w:tcPr>
          <w:p w14:paraId="35A95AF5">
            <w:pPr>
              <w:bidi w:val="0"/>
              <w:spacing w:line="360" w:lineRule="auto"/>
              <w:rPr>
                <w:rFonts w:hint="eastAsia" w:ascii="宋体" w:hAnsi="宋体" w:eastAsia="宋体" w:cs="宋体"/>
                <w:sz w:val="24"/>
                <w:szCs w:val="24"/>
              </w:rPr>
            </w:pPr>
            <w:r>
              <w:rPr>
                <w:rFonts w:hint="eastAsia" w:ascii="宋体" w:hAnsi="宋体" w:eastAsia="宋体" w:cs="宋体"/>
                <w:sz w:val="24"/>
                <w:szCs w:val="24"/>
              </w:rPr>
              <w:t>医院信息平台HIP基础服务</w:t>
            </w:r>
          </w:p>
        </w:tc>
        <w:tc>
          <w:tcPr>
            <w:tcW w:w="766" w:type="pct"/>
            <w:noWrap w:val="0"/>
            <w:vAlign w:val="center"/>
          </w:tcPr>
          <w:p w14:paraId="3F3F46C7">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7136B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005B2224">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2</w:t>
            </w:r>
          </w:p>
        </w:tc>
        <w:tc>
          <w:tcPr>
            <w:tcW w:w="1655" w:type="pct"/>
            <w:vMerge w:val="continue"/>
            <w:noWrap w:val="0"/>
            <w:vAlign w:val="center"/>
          </w:tcPr>
          <w:p w14:paraId="2CBAE3D9">
            <w:pPr>
              <w:bidi w:val="0"/>
              <w:spacing w:line="360" w:lineRule="auto"/>
              <w:jc w:val="center"/>
              <w:rPr>
                <w:rFonts w:hint="eastAsia" w:ascii="宋体" w:hAnsi="宋体" w:eastAsia="宋体" w:cs="宋体"/>
                <w:sz w:val="24"/>
                <w:szCs w:val="24"/>
              </w:rPr>
            </w:pPr>
          </w:p>
        </w:tc>
        <w:tc>
          <w:tcPr>
            <w:tcW w:w="2030" w:type="pct"/>
            <w:noWrap w:val="0"/>
            <w:vAlign w:val="center"/>
          </w:tcPr>
          <w:p w14:paraId="7E5AA816">
            <w:pPr>
              <w:bidi w:val="0"/>
              <w:spacing w:line="360" w:lineRule="auto"/>
              <w:rPr>
                <w:rFonts w:hint="eastAsia" w:ascii="宋体" w:hAnsi="宋体" w:eastAsia="宋体" w:cs="宋体"/>
                <w:sz w:val="24"/>
                <w:szCs w:val="24"/>
              </w:rPr>
            </w:pPr>
            <w:r>
              <w:rPr>
                <w:rFonts w:hint="eastAsia" w:ascii="宋体" w:hAnsi="宋体" w:eastAsia="宋体" w:cs="宋体"/>
                <w:sz w:val="24"/>
                <w:szCs w:val="24"/>
              </w:rPr>
              <w:t>平台运维管理系统</w:t>
            </w:r>
          </w:p>
        </w:tc>
        <w:tc>
          <w:tcPr>
            <w:tcW w:w="766" w:type="pct"/>
            <w:noWrap w:val="0"/>
            <w:vAlign w:val="center"/>
          </w:tcPr>
          <w:p w14:paraId="00C3C3C3">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6AE06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30B09788">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3</w:t>
            </w:r>
          </w:p>
        </w:tc>
        <w:tc>
          <w:tcPr>
            <w:tcW w:w="1655" w:type="pct"/>
            <w:vMerge w:val="continue"/>
            <w:noWrap w:val="0"/>
            <w:vAlign w:val="top"/>
          </w:tcPr>
          <w:p w14:paraId="5770FE5E">
            <w:pPr>
              <w:bidi w:val="0"/>
              <w:spacing w:line="360" w:lineRule="auto"/>
              <w:jc w:val="center"/>
              <w:rPr>
                <w:rFonts w:hint="eastAsia" w:ascii="宋体" w:hAnsi="宋体" w:eastAsia="宋体" w:cs="宋体"/>
                <w:sz w:val="24"/>
                <w:szCs w:val="24"/>
              </w:rPr>
            </w:pPr>
          </w:p>
        </w:tc>
        <w:tc>
          <w:tcPr>
            <w:tcW w:w="2030" w:type="pct"/>
            <w:noWrap w:val="0"/>
            <w:vAlign w:val="center"/>
          </w:tcPr>
          <w:p w14:paraId="3DE95495">
            <w:pPr>
              <w:bidi w:val="0"/>
              <w:spacing w:line="360" w:lineRule="auto"/>
              <w:rPr>
                <w:rFonts w:hint="eastAsia" w:ascii="宋体" w:hAnsi="宋体" w:eastAsia="宋体" w:cs="宋体"/>
                <w:sz w:val="24"/>
                <w:szCs w:val="24"/>
              </w:rPr>
            </w:pPr>
            <w:r>
              <w:rPr>
                <w:rFonts w:hint="eastAsia" w:ascii="宋体" w:hAnsi="宋体" w:eastAsia="宋体" w:cs="宋体"/>
                <w:sz w:val="24"/>
                <w:szCs w:val="24"/>
              </w:rPr>
              <w:t>主数据管理</w:t>
            </w:r>
          </w:p>
        </w:tc>
        <w:tc>
          <w:tcPr>
            <w:tcW w:w="766" w:type="pct"/>
            <w:noWrap w:val="0"/>
            <w:vAlign w:val="center"/>
          </w:tcPr>
          <w:p w14:paraId="22AA6A17">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1D004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1F194FF2">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4</w:t>
            </w:r>
          </w:p>
        </w:tc>
        <w:tc>
          <w:tcPr>
            <w:tcW w:w="1655" w:type="pct"/>
            <w:vMerge w:val="continue"/>
            <w:noWrap w:val="0"/>
            <w:vAlign w:val="top"/>
          </w:tcPr>
          <w:p w14:paraId="73DAE569">
            <w:pPr>
              <w:bidi w:val="0"/>
              <w:spacing w:line="360" w:lineRule="auto"/>
              <w:jc w:val="center"/>
              <w:rPr>
                <w:rFonts w:hint="eastAsia" w:ascii="宋体" w:hAnsi="宋体" w:eastAsia="宋体" w:cs="宋体"/>
                <w:sz w:val="24"/>
                <w:szCs w:val="24"/>
              </w:rPr>
            </w:pPr>
          </w:p>
        </w:tc>
        <w:tc>
          <w:tcPr>
            <w:tcW w:w="2030" w:type="pct"/>
            <w:noWrap w:val="0"/>
            <w:vAlign w:val="center"/>
          </w:tcPr>
          <w:p w14:paraId="3B6E32C5">
            <w:pPr>
              <w:bidi w:val="0"/>
              <w:spacing w:line="360" w:lineRule="auto"/>
              <w:rPr>
                <w:rFonts w:hint="eastAsia" w:ascii="宋体" w:hAnsi="宋体" w:eastAsia="宋体" w:cs="宋体"/>
                <w:sz w:val="24"/>
                <w:szCs w:val="24"/>
              </w:rPr>
            </w:pPr>
            <w:r>
              <w:rPr>
                <w:rFonts w:hint="eastAsia" w:ascii="宋体" w:hAnsi="宋体" w:eastAsia="宋体" w:cs="宋体"/>
                <w:sz w:val="24"/>
                <w:szCs w:val="24"/>
              </w:rPr>
              <w:t>患者主索引</w:t>
            </w:r>
          </w:p>
        </w:tc>
        <w:tc>
          <w:tcPr>
            <w:tcW w:w="766" w:type="pct"/>
            <w:noWrap w:val="0"/>
            <w:vAlign w:val="center"/>
          </w:tcPr>
          <w:p w14:paraId="33F8AF1D">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66AC2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781BDA32">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5</w:t>
            </w:r>
          </w:p>
        </w:tc>
        <w:tc>
          <w:tcPr>
            <w:tcW w:w="1655" w:type="pct"/>
            <w:vMerge w:val="continue"/>
            <w:noWrap w:val="0"/>
            <w:vAlign w:val="top"/>
          </w:tcPr>
          <w:p w14:paraId="6EB2BA11">
            <w:pPr>
              <w:bidi w:val="0"/>
              <w:spacing w:line="360" w:lineRule="auto"/>
              <w:jc w:val="center"/>
              <w:rPr>
                <w:rFonts w:hint="eastAsia" w:ascii="宋体" w:hAnsi="宋体" w:eastAsia="宋体" w:cs="宋体"/>
                <w:sz w:val="24"/>
                <w:szCs w:val="24"/>
              </w:rPr>
            </w:pPr>
          </w:p>
        </w:tc>
        <w:tc>
          <w:tcPr>
            <w:tcW w:w="2030" w:type="pct"/>
            <w:noWrap w:val="0"/>
            <w:vAlign w:val="center"/>
          </w:tcPr>
          <w:p w14:paraId="2DFAAE4D">
            <w:pPr>
              <w:bidi w:val="0"/>
              <w:spacing w:line="360" w:lineRule="auto"/>
              <w:rPr>
                <w:rFonts w:hint="eastAsia" w:ascii="宋体" w:hAnsi="宋体" w:eastAsia="宋体" w:cs="宋体"/>
                <w:sz w:val="24"/>
                <w:szCs w:val="24"/>
              </w:rPr>
            </w:pPr>
            <w:r>
              <w:rPr>
                <w:rFonts w:hint="eastAsia" w:ascii="宋体" w:hAnsi="宋体" w:eastAsia="宋体" w:cs="宋体"/>
                <w:sz w:val="24"/>
                <w:szCs w:val="24"/>
              </w:rPr>
              <w:t>数据融合系统</w:t>
            </w:r>
          </w:p>
        </w:tc>
        <w:tc>
          <w:tcPr>
            <w:tcW w:w="766" w:type="pct"/>
            <w:noWrap w:val="0"/>
            <w:vAlign w:val="center"/>
          </w:tcPr>
          <w:p w14:paraId="2604B615">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7B68A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345FF783">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6</w:t>
            </w:r>
          </w:p>
        </w:tc>
        <w:tc>
          <w:tcPr>
            <w:tcW w:w="1655" w:type="pct"/>
            <w:vMerge w:val="continue"/>
            <w:noWrap w:val="0"/>
            <w:vAlign w:val="top"/>
          </w:tcPr>
          <w:p w14:paraId="2B786188">
            <w:pPr>
              <w:bidi w:val="0"/>
              <w:spacing w:line="360" w:lineRule="auto"/>
              <w:jc w:val="center"/>
              <w:rPr>
                <w:rFonts w:hint="eastAsia" w:ascii="宋体" w:hAnsi="宋体" w:eastAsia="宋体" w:cs="宋体"/>
                <w:sz w:val="24"/>
                <w:szCs w:val="24"/>
              </w:rPr>
            </w:pPr>
          </w:p>
        </w:tc>
        <w:tc>
          <w:tcPr>
            <w:tcW w:w="2030" w:type="pct"/>
            <w:noWrap w:val="0"/>
            <w:vAlign w:val="center"/>
          </w:tcPr>
          <w:p w14:paraId="47F3CE3F">
            <w:pPr>
              <w:bidi w:val="0"/>
              <w:spacing w:line="360" w:lineRule="auto"/>
              <w:rPr>
                <w:rFonts w:hint="eastAsia" w:ascii="宋体" w:hAnsi="宋体" w:eastAsia="宋体" w:cs="宋体"/>
                <w:sz w:val="24"/>
                <w:szCs w:val="24"/>
              </w:rPr>
            </w:pPr>
            <w:r>
              <w:rPr>
                <w:rFonts w:hint="eastAsia" w:ascii="宋体" w:hAnsi="宋体" w:eastAsia="宋体" w:cs="宋体"/>
                <w:sz w:val="24"/>
                <w:szCs w:val="24"/>
              </w:rPr>
              <w:t>医院数据中心</w:t>
            </w:r>
          </w:p>
        </w:tc>
        <w:tc>
          <w:tcPr>
            <w:tcW w:w="766" w:type="pct"/>
            <w:noWrap w:val="0"/>
            <w:vAlign w:val="center"/>
          </w:tcPr>
          <w:p w14:paraId="321E72E4">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224B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3CD6EC2F">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7</w:t>
            </w:r>
          </w:p>
        </w:tc>
        <w:tc>
          <w:tcPr>
            <w:tcW w:w="1655" w:type="pct"/>
            <w:vMerge w:val="continue"/>
            <w:noWrap w:val="0"/>
            <w:vAlign w:val="top"/>
          </w:tcPr>
          <w:p w14:paraId="75BD5F97">
            <w:pPr>
              <w:bidi w:val="0"/>
              <w:spacing w:line="360" w:lineRule="auto"/>
              <w:jc w:val="center"/>
              <w:rPr>
                <w:rFonts w:hint="eastAsia" w:ascii="宋体" w:hAnsi="宋体" w:eastAsia="宋体" w:cs="宋体"/>
                <w:sz w:val="24"/>
                <w:szCs w:val="24"/>
              </w:rPr>
            </w:pPr>
          </w:p>
        </w:tc>
        <w:tc>
          <w:tcPr>
            <w:tcW w:w="2030" w:type="pct"/>
            <w:noWrap w:val="0"/>
            <w:vAlign w:val="center"/>
          </w:tcPr>
          <w:p w14:paraId="7ABFC98F">
            <w:pPr>
              <w:bidi w:val="0"/>
              <w:spacing w:line="360" w:lineRule="auto"/>
              <w:rPr>
                <w:rFonts w:hint="eastAsia" w:ascii="宋体" w:hAnsi="宋体" w:eastAsia="宋体" w:cs="宋体"/>
                <w:sz w:val="24"/>
                <w:szCs w:val="24"/>
              </w:rPr>
            </w:pPr>
            <w:r>
              <w:rPr>
                <w:rFonts w:hint="eastAsia" w:ascii="宋体" w:hAnsi="宋体" w:eastAsia="宋体" w:cs="宋体"/>
                <w:sz w:val="24"/>
                <w:szCs w:val="24"/>
              </w:rPr>
              <w:t>医疗临床数据中心（CDR）</w:t>
            </w:r>
          </w:p>
        </w:tc>
        <w:tc>
          <w:tcPr>
            <w:tcW w:w="766" w:type="pct"/>
            <w:noWrap w:val="0"/>
            <w:vAlign w:val="center"/>
          </w:tcPr>
          <w:p w14:paraId="7FEC2D72">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3406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2C5F10EE">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8</w:t>
            </w:r>
          </w:p>
        </w:tc>
        <w:tc>
          <w:tcPr>
            <w:tcW w:w="1655" w:type="pct"/>
            <w:vMerge w:val="continue"/>
            <w:noWrap w:val="0"/>
            <w:vAlign w:val="top"/>
          </w:tcPr>
          <w:p w14:paraId="0DF61FD0">
            <w:pPr>
              <w:bidi w:val="0"/>
              <w:spacing w:line="360" w:lineRule="auto"/>
              <w:jc w:val="center"/>
              <w:rPr>
                <w:rFonts w:hint="eastAsia" w:ascii="宋体" w:hAnsi="宋体" w:eastAsia="宋体" w:cs="宋体"/>
                <w:sz w:val="24"/>
                <w:szCs w:val="24"/>
              </w:rPr>
            </w:pPr>
          </w:p>
        </w:tc>
        <w:tc>
          <w:tcPr>
            <w:tcW w:w="2030" w:type="pct"/>
            <w:noWrap w:val="0"/>
            <w:vAlign w:val="center"/>
          </w:tcPr>
          <w:p w14:paraId="694DC73C">
            <w:pPr>
              <w:bidi w:val="0"/>
              <w:spacing w:line="360" w:lineRule="auto"/>
              <w:rPr>
                <w:rFonts w:hint="eastAsia" w:ascii="宋体" w:hAnsi="宋体" w:eastAsia="宋体" w:cs="宋体"/>
                <w:sz w:val="24"/>
                <w:szCs w:val="24"/>
              </w:rPr>
            </w:pPr>
            <w:r>
              <w:rPr>
                <w:rFonts w:hint="eastAsia" w:ascii="宋体" w:hAnsi="宋体" w:eastAsia="宋体" w:cs="宋体"/>
                <w:sz w:val="24"/>
                <w:szCs w:val="24"/>
              </w:rPr>
              <w:t>临床决策支持系统（CDSS）</w:t>
            </w:r>
          </w:p>
        </w:tc>
        <w:tc>
          <w:tcPr>
            <w:tcW w:w="766" w:type="pct"/>
            <w:noWrap w:val="0"/>
            <w:vAlign w:val="center"/>
          </w:tcPr>
          <w:p w14:paraId="32503607">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218FE5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5681E2F5">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9</w:t>
            </w:r>
          </w:p>
        </w:tc>
        <w:tc>
          <w:tcPr>
            <w:tcW w:w="1655" w:type="pct"/>
            <w:vMerge w:val="continue"/>
            <w:noWrap w:val="0"/>
            <w:vAlign w:val="top"/>
          </w:tcPr>
          <w:p w14:paraId="2066BE82">
            <w:pPr>
              <w:bidi w:val="0"/>
              <w:spacing w:line="360" w:lineRule="auto"/>
              <w:jc w:val="center"/>
              <w:rPr>
                <w:rFonts w:hint="eastAsia" w:ascii="宋体" w:hAnsi="宋体" w:eastAsia="宋体" w:cs="宋体"/>
                <w:sz w:val="24"/>
                <w:szCs w:val="24"/>
              </w:rPr>
            </w:pPr>
          </w:p>
        </w:tc>
        <w:tc>
          <w:tcPr>
            <w:tcW w:w="2030" w:type="pct"/>
            <w:noWrap w:val="0"/>
            <w:vAlign w:val="center"/>
          </w:tcPr>
          <w:p w14:paraId="5C7052DF">
            <w:pPr>
              <w:bidi w:val="0"/>
              <w:spacing w:line="360" w:lineRule="auto"/>
              <w:rPr>
                <w:rFonts w:hint="eastAsia" w:ascii="宋体" w:hAnsi="宋体" w:eastAsia="宋体" w:cs="宋体"/>
                <w:sz w:val="24"/>
                <w:szCs w:val="24"/>
              </w:rPr>
            </w:pPr>
            <w:r>
              <w:rPr>
                <w:rFonts w:hint="eastAsia" w:ascii="宋体" w:hAnsi="宋体" w:eastAsia="宋体" w:cs="宋体"/>
                <w:sz w:val="24"/>
                <w:szCs w:val="24"/>
              </w:rPr>
              <w:t>医院管理决策分析系统（HBI）</w:t>
            </w:r>
          </w:p>
        </w:tc>
        <w:tc>
          <w:tcPr>
            <w:tcW w:w="766" w:type="pct"/>
            <w:noWrap w:val="0"/>
            <w:vAlign w:val="center"/>
          </w:tcPr>
          <w:p w14:paraId="00780B09">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540D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523D5026">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10</w:t>
            </w:r>
          </w:p>
        </w:tc>
        <w:tc>
          <w:tcPr>
            <w:tcW w:w="1655" w:type="pct"/>
            <w:vMerge w:val="continue"/>
            <w:noWrap w:val="0"/>
            <w:vAlign w:val="top"/>
          </w:tcPr>
          <w:p w14:paraId="01D7D30C">
            <w:pPr>
              <w:bidi w:val="0"/>
              <w:spacing w:line="360" w:lineRule="auto"/>
              <w:jc w:val="center"/>
              <w:rPr>
                <w:rFonts w:hint="eastAsia" w:ascii="宋体" w:hAnsi="宋体" w:eastAsia="宋体" w:cs="宋体"/>
                <w:sz w:val="24"/>
                <w:szCs w:val="24"/>
              </w:rPr>
            </w:pPr>
          </w:p>
        </w:tc>
        <w:tc>
          <w:tcPr>
            <w:tcW w:w="2030" w:type="pct"/>
            <w:noWrap w:val="0"/>
            <w:vAlign w:val="center"/>
          </w:tcPr>
          <w:p w14:paraId="4703A593">
            <w:pPr>
              <w:bidi w:val="0"/>
              <w:spacing w:line="360" w:lineRule="auto"/>
              <w:rPr>
                <w:rFonts w:hint="eastAsia" w:ascii="宋体" w:hAnsi="宋体" w:eastAsia="宋体" w:cs="宋体"/>
                <w:sz w:val="24"/>
                <w:szCs w:val="24"/>
              </w:rPr>
            </w:pPr>
            <w:r>
              <w:rPr>
                <w:rFonts w:hint="eastAsia" w:ascii="宋体" w:hAnsi="宋体" w:eastAsia="宋体" w:cs="宋体"/>
                <w:sz w:val="24"/>
                <w:szCs w:val="24"/>
              </w:rPr>
              <w:t>单点登陆系统</w:t>
            </w:r>
          </w:p>
        </w:tc>
        <w:tc>
          <w:tcPr>
            <w:tcW w:w="766" w:type="pct"/>
            <w:noWrap w:val="0"/>
            <w:vAlign w:val="center"/>
          </w:tcPr>
          <w:p w14:paraId="280C09E9">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2436A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7FD79832">
            <w:pPr>
              <w:bidi w:val="0"/>
              <w:spacing w:line="360" w:lineRule="auto"/>
              <w:jc w:val="left"/>
              <w:rPr>
                <w:rFonts w:hint="eastAsia" w:ascii="宋体" w:hAnsi="宋体" w:eastAsia="宋体" w:cs="宋体"/>
                <w:sz w:val="24"/>
                <w:szCs w:val="24"/>
              </w:rPr>
            </w:pPr>
            <w:r>
              <w:rPr>
                <w:rFonts w:hint="eastAsia" w:ascii="宋体" w:hAnsi="宋体" w:eastAsia="宋体" w:cs="宋体"/>
                <w:sz w:val="24"/>
                <w:szCs w:val="24"/>
              </w:rPr>
              <w:t>11</w:t>
            </w:r>
          </w:p>
        </w:tc>
        <w:tc>
          <w:tcPr>
            <w:tcW w:w="1655" w:type="pct"/>
            <w:vMerge w:val="continue"/>
            <w:noWrap w:val="0"/>
            <w:vAlign w:val="top"/>
          </w:tcPr>
          <w:p w14:paraId="7ED6DF4F">
            <w:pPr>
              <w:bidi w:val="0"/>
              <w:spacing w:line="360" w:lineRule="auto"/>
              <w:jc w:val="center"/>
              <w:rPr>
                <w:rFonts w:hint="eastAsia" w:ascii="宋体" w:hAnsi="宋体" w:eastAsia="宋体" w:cs="宋体"/>
                <w:sz w:val="24"/>
                <w:szCs w:val="24"/>
              </w:rPr>
            </w:pPr>
          </w:p>
        </w:tc>
        <w:tc>
          <w:tcPr>
            <w:tcW w:w="2030" w:type="pct"/>
            <w:noWrap w:val="0"/>
            <w:vAlign w:val="center"/>
          </w:tcPr>
          <w:p w14:paraId="0BE3AD5C">
            <w:pPr>
              <w:bidi w:val="0"/>
              <w:spacing w:line="360" w:lineRule="auto"/>
              <w:rPr>
                <w:rFonts w:hint="eastAsia" w:ascii="宋体" w:hAnsi="宋体" w:eastAsia="宋体" w:cs="宋体"/>
                <w:sz w:val="24"/>
                <w:szCs w:val="24"/>
              </w:rPr>
            </w:pPr>
            <w:r>
              <w:rPr>
                <w:rFonts w:hint="eastAsia" w:ascii="宋体" w:hAnsi="宋体" w:eastAsia="宋体" w:cs="宋体"/>
                <w:sz w:val="24"/>
                <w:szCs w:val="24"/>
              </w:rPr>
              <w:t>医疗</w:t>
            </w:r>
            <w:r>
              <w:rPr>
                <w:rFonts w:hint="eastAsia" w:ascii="宋体" w:hAnsi="宋体" w:eastAsia="宋体" w:cs="宋体"/>
                <w:sz w:val="24"/>
                <w:szCs w:val="24"/>
                <w:lang w:val="en-US" w:eastAsia="zh-CN"/>
              </w:rPr>
              <w:t>BI</w:t>
            </w:r>
            <w:r>
              <w:rPr>
                <w:rFonts w:hint="eastAsia" w:ascii="宋体" w:hAnsi="宋体" w:eastAsia="宋体" w:cs="宋体"/>
                <w:sz w:val="24"/>
                <w:szCs w:val="24"/>
              </w:rPr>
              <w:t>管理系统</w:t>
            </w:r>
          </w:p>
        </w:tc>
        <w:tc>
          <w:tcPr>
            <w:tcW w:w="766" w:type="pct"/>
            <w:noWrap w:val="0"/>
            <w:vAlign w:val="center"/>
          </w:tcPr>
          <w:p w14:paraId="47361DAC">
            <w:pPr>
              <w:bidi w:val="0"/>
              <w:spacing w:line="360" w:lineRule="auto"/>
              <w:rPr>
                <w:rFonts w:hint="eastAsia" w:ascii="宋体" w:hAnsi="宋体" w:eastAsia="宋体" w:cs="宋体"/>
                <w:sz w:val="24"/>
                <w:szCs w:val="24"/>
              </w:rPr>
            </w:pPr>
            <w:r>
              <w:rPr>
                <w:rFonts w:hint="eastAsia" w:ascii="宋体" w:hAnsi="宋体" w:eastAsia="宋体" w:cs="宋体"/>
                <w:sz w:val="24"/>
                <w:szCs w:val="24"/>
              </w:rPr>
              <w:t>1</w:t>
            </w:r>
          </w:p>
        </w:tc>
      </w:tr>
      <w:tr w14:paraId="665BD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23C18671">
            <w:pPr>
              <w:bidi w:val="0"/>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12</w:t>
            </w:r>
          </w:p>
        </w:tc>
        <w:tc>
          <w:tcPr>
            <w:tcW w:w="1655" w:type="pct"/>
            <w:vMerge w:val="continue"/>
            <w:noWrap w:val="0"/>
            <w:vAlign w:val="top"/>
          </w:tcPr>
          <w:p w14:paraId="44E04333">
            <w:pPr>
              <w:bidi w:val="0"/>
              <w:spacing w:line="360" w:lineRule="auto"/>
              <w:jc w:val="center"/>
              <w:rPr>
                <w:rFonts w:hint="eastAsia" w:ascii="宋体" w:hAnsi="宋体" w:eastAsia="宋体" w:cs="宋体"/>
                <w:sz w:val="24"/>
                <w:szCs w:val="24"/>
              </w:rPr>
            </w:pPr>
          </w:p>
        </w:tc>
        <w:tc>
          <w:tcPr>
            <w:tcW w:w="2030" w:type="pct"/>
            <w:noWrap w:val="0"/>
            <w:vAlign w:val="center"/>
          </w:tcPr>
          <w:p w14:paraId="1B1394E1">
            <w:pPr>
              <w:bidi w:val="0"/>
              <w:spacing w:line="360" w:lineRule="auto"/>
              <w:rPr>
                <w:rFonts w:hint="default" w:ascii="宋体" w:hAnsi="宋体" w:eastAsia="宋体" w:cs="宋体"/>
                <w:sz w:val="24"/>
                <w:szCs w:val="24"/>
                <w:lang w:val="en-US" w:eastAsia="zh-CN"/>
              </w:rPr>
            </w:pPr>
            <w:r>
              <w:rPr>
                <w:rFonts w:hint="eastAsia" w:ascii="宋体" w:hAnsi="宋体" w:cs="宋体"/>
                <w:sz w:val="24"/>
                <w:szCs w:val="24"/>
                <w:lang w:val="en-US" w:eastAsia="zh-CN"/>
              </w:rPr>
              <w:t>病案首页数据上传包含国家级、省级</w:t>
            </w:r>
          </w:p>
        </w:tc>
        <w:tc>
          <w:tcPr>
            <w:tcW w:w="766" w:type="pct"/>
            <w:noWrap w:val="0"/>
            <w:vAlign w:val="center"/>
          </w:tcPr>
          <w:p w14:paraId="1F806C03">
            <w:pPr>
              <w:bidi w:val="0"/>
              <w:spacing w:line="360" w:lineRule="auto"/>
              <w:rPr>
                <w:rFonts w:hint="eastAsia" w:ascii="宋体" w:hAnsi="宋体" w:eastAsia="宋体" w:cs="宋体"/>
                <w:sz w:val="24"/>
                <w:szCs w:val="24"/>
                <w:lang w:val="en-US" w:eastAsia="zh-CN"/>
              </w:rPr>
            </w:pPr>
            <w:r>
              <w:rPr>
                <w:rFonts w:hint="eastAsia" w:ascii="宋体" w:hAnsi="宋体" w:cs="宋体"/>
                <w:sz w:val="24"/>
                <w:szCs w:val="24"/>
                <w:lang w:val="en-US" w:eastAsia="zh-CN"/>
              </w:rPr>
              <w:t>1</w:t>
            </w:r>
          </w:p>
        </w:tc>
      </w:tr>
      <w:tr w14:paraId="5440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0E07762C">
            <w:pPr>
              <w:bidi w:val="0"/>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13</w:t>
            </w:r>
          </w:p>
        </w:tc>
        <w:tc>
          <w:tcPr>
            <w:tcW w:w="1655" w:type="pct"/>
            <w:noWrap w:val="0"/>
            <w:vAlign w:val="top"/>
          </w:tcPr>
          <w:p w14:paraId="442ADCFD">
            <w:pPr>
              <w:bidi w:val="0"/>
              <w:spacing w:line="360" w:lineRule="auto"/>
              <w:jc w:val="center"/>
              <w:rPr>
                <w:rFonts w:hint="eastAsia" w:ascii="宋体" w:hAnsi="宋体" w:eastAsia="宋体" w:cs="宋体"/>
                <w:sz w:val="24"/>
                <w:szCs w:val="24"/>
              </w:rPr>
            </w:pPr>
          </w:p>
        </w:tc>
        <w:tc>
          <w:tcPr>
            <w:tcW w:w="2030" w:type="pct"/>
            <w:noWrap w:val="0"/>
            <w:vAlign w:val="center"/>
          </w:tcPr>
          <w:p w14:paraId="66DB8B79">
            <w:pPr>
              <w:bidi w:val="0"/>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江苏省健康数据平台相关数据上传、后续新增数据项，等一系列适应性增加改造维护（简称省平台）</w:t>
            </w:r>
          </w:p>
        </w:tc>
        <w:tc>
          <w:tcPr>
            <w:tcW w:w="766" w:type="pct"/>
            <w:noWrap w:val="0"/>
            <w:vAlign w:val="center"/>
          </w:tcPr>
          <w:p w14:paraId="41A741BF">
            <w:pPr>
              <w:bidi w:val="0"/>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1</w:t>
            </w:r>
          </w:p>
        </w:tc>
      </w:tr>
      <w:tr w14:paraId="1EEAA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7" w:type="pct"/>
            <w:noWrap w:val="0"/>
            <w:vAlign w:val="center"/>
          </w:tcPr>
          <w:p w14:paraId="0B77172B">
            <w:pPr>
              <w:bidi w:val="0"/>
              <w:spacing w:line="360" w:lineRule="auto"/>
              <w:jc w:val="center"/>
              <w:rPr>
                <w:rFonts w:hint="default" w:ascii="宋体" w:hAnsi="宋体" w:cs="宋体"/>
                <w:sz w:val="24"/>
                <w:szCs w:val="24"/>
                <w:lang w:val="en-US" w:eastAsia="zh-CN"/>
              </w:rPr>
            </w:pPr>
            <w:r>
              <w:rPr>
                <w:rFonts w:hint="eastAsia" w:ascii="宋体" w:hAnsi="宋体" w:cs="宋体"/>
                <w:sz w:val="24"/>
                <w:szCs w:val="24"/>
                <w:lang w:val="en-US" w:eastAsia="zh-CN"/>
              </w:rPr>
              <w:t>14</w:t>
            </w:r>
          </w:p>
        </w:tc>
        <w:tc>
          <w:tcPr>
            <w:tcW w:w="1655" w:type="pct"/>
            <w:noWrap w:val="0"/>
            <w:vAlign w:val="top"/>
          </w:tcPr>
          <w:p w14:paraId="78919672">
            <w:pPr>
              <w:bidi w:val="0"/>
              <w:spacing w:line="360" w:lineRule="auto"/>
              <w:jc w:val="center"/>
              <w:rPr>
                <w:rFonts w:hint="eastAsia" w:ascii="宋体" w:hAnsi="宋体" w:eastAsia="宋体" w:cs="宋体"/>
                <w:sz w:val="24"/>
                <w:szCs w:val="24"/>
              </w:rPr>
            </w:pPr>
          </w:p>
        </w:tc>
        <w:tc>
          <w:tcPr>
            <w:tcW w:w="2030" w:type="pct"/>
            <w:noWrap w:val="0"/>
            <w:vAlign w:val="center"/>
          </w:tcPr>
          <w:p w14:paraId="42402893">
            <w:pPr>
              <w:bidi w:val="0"/>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本地数据治理模块维护维保</w:t>
            </w:r>
          </w:p>
        </w:tc>
        <w:tc>
          <w:tcPr>
            <w:tcW w:w="766" w:type="pct"/>
            <w:noWrap w:val="0"/>
            <w:vAlign w:val="center"/>
          </w:tcPr>
          <w:p w14:paraId="5E8D99BB">
            <w:pPr>
              <w:bidi w:val="0"/>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1</w:t>
            </w:r>
          </w:p>
        </w:tc>
      </w:tr>
    </w:tbl>
    <w:p w14:paraId="2C87ABBB">
      <w:pPr>
        <w:bidi w:val="0"/>
        <w:rPr>
          <w:rFonts w:hint="eastAsia" w:ascii="宋体" w:hAnsi="宋体" w:eastAsia="宋体" w:cs="宋体"/>
          <w:sz w:val="24"/>
          <w:szCs w:val="24"/>
          <w:lang w:val="zh-CN"/>
        </w:rPr>
      </w:pPr>
    </w:p>
    <w:p w14:paraId="3BFC3D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通过电话、电子邮箱、网络远程、QQ等方式，公司提供以下服务：</w:t>
      </w:r>
    </w:p>
    <w:p w14:paraId="6ECCA68B">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提供软件功能的应用咨询，包括功能使用、功能配置、功能设置等；</w:t>
      </w:r>
    </w:p>
    <w:p w14:paraId="3DB219D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协助查找、排除院方在软件应用过程中出现功能错误及表1.1中的模块的故障，保证系统功能正常运行。</w:t>
      </w:r>
    </w:p>
    <w:p w14:paraId="0951F99F">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协助院方进行现有工作报表格式、数据调整、修改；</w:t>
      </w:r>
    </w:p>
    <w:p w14:paraId="11703980">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协助院方从系统现有数据中修改系统自带报表，新增报表数据超出本系统外，需要从第三方系统（HIS、LIS、PCS等）中获取数据时，公司需要第三方人员配合完成新增报表的设置。</w:t>
      </w:r>
      <w:r>
        <w:rPr>
          <w:rFonts w:hint="eastAsia" w:ascii="宋体" w:hAnsi="宋体" w:eastAsia="宋体" w:cs="宋体"/>
          <w:sz w:val="24"/>
          <w:szCs w:val="24"/>
          <w:lang w:val="en-US" w:eastAsia="zh-CN"/>
        </w:rPr>
        <w:t>如工作量实在巨大，如单人工作量大于等于20天，</w:t>
      </w:r>
      <w:r>
        <w:rPr>
          <w:rFonts w:hint="eastAsia" w:ascii="宋体" w:hAnsi="宋体" w:eastAsia="宋体" w:cs="宋体"/>
          <w:sz w:val="24"/>
          <w:szCs w:val="24"/>
          <w:lang w:val="zh-CN" w:eastAsia="zh-CN"/>
        </w:rPr>
        <w:t xml:space="preserve">甲乙双方需要协商签定合同，公司按合同完成相应工作； </w:t>
      </w:r>
    </w:p>
    <w:p w14:paraId="7B6AD9A8">
      <w:pPr>
        <w:pStyle w:val="2"/>
        <w:rPr>
          <w:rFonts w:hint="eastAsia" w:ascii="宋体" w:hAnsi="宋体" w:cs="宋体"/>
          <w:sz w:val="24"/>
        </w:rPr>
      </w:pPr>
      <w:r>
        <w:rPr>
          <w:rFonts w:hint="eastAsia" w:ascii="宋体" w:hAnsi="宋体" w:cs="宋体"/>
          <w:sz w:val="24"/>
          <w:lang w:val="en-US" w:eastAsia="zh-CN"/>
        </w:rPr>
        <w:t>具体体现为——</w:t>
      </w:r>
      <w:r>
        <w:rPr>
          <w:rFonts w:hint="eastAsia" w:ascii="宋体" w:hAnsi="宋体" w:cs="宋体"/>
          <w:sz w:val="24"/>
        </w:rPr>
        <w:t>系统集成：如需要与其他系统接口集成、调试、维护等，在工作量不巨大的情况下(如单人工作量≤20天),厂家有义务进行全力配合，不得额外收取费用。</w:t>
      </w:r>
    </w:p>
    <w:p w14:paraId="5B571C16">
      <w:pPr>
        <w:pStyle w:val="2"/>
        <w:rPr>
          <w:rFonts w:hint="eastAsia"/>
          <w:lang w:val="zh-CN" w:eastAsia="zh-CN"/>
        </w:rPr>
      </w:pPr>
      <w:r>
        <w:rPr>
          <w:rFonts w:hint="eastAsia" w:ascii="宋体" w:hAnsi="宋体" w:cs="宋体"/>
          <w:sz w:val="24"/>
        </w:rPr>
        <w:t>需求的更新：厂家和院方共同协商，确认功能要求后，将及时完善到系统中。院方在实际工作中产生的、需要系统更新的版本内的相关功能，经双方友好协商后，共同签署附加实施协议，再予以完善到系统中；超出功能范围的内容，如工作量巨大，工作内容复杂，技术难度较高等特殊情况，经双方友好协商后，按协商价格收取相应费用。</w:t>
      </w:r>
    </w:p>
    <w:p w14:paraId="6868A504">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 xml:space="preserve">提供已应用模块范围内的功能需求调整、修改，因院方需求改变引起的现有系统功能范围内的调整与修改完善（不包括涉及系统整体结构及模块结构改变的需求），并提供详细的文档说明和相关资料； </w:t>
      </w:r>
    </w:p>
    <w:p w14:paraId="64FC6F67">
      <w:pPr>
        <w:keepNext w:val="0"/>
        <w:keepLines w:val="0"/>
        <w:pageBreakBefore w:val="0"/>
        <w:widowControl w:val="0"/>
        <w:numPr>
          <w:ilvl w:val="0"/>
          <w:numId w:val="6"/>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协助院方建立日常维护记录，定期与院方系统管理人员共同检查系统运行情况，并形成系统维护记录制度和系统管理规范，经常性与院方中心技术人员讨论院方信息系统运行中存在的问题以及解决方法。</w:t>
      </w:r>
    </w:p>
    <w:p w14:paraId="6B02197B">
      <w:pPr>
        <w:bidi w:val="0"/>
        <w:rPr>
          <w:rFonts w:hint="eastAsia" w:ascii="宋体" w:hAnsi="宋体" w:eastAsia="宋体" w:cs="宋体"/>
          <w:sz w:val="24"/>
          <w:szCs w:val="24"/>
          <w:lang w:val="en-US" w:eastAsia="zh-CN"/>
        </w:rPr>
      </w:pPr>
    </w:p>
    <w:p w14:paraId="3DC15D4D">
      <w:pPr>
        <w:pStyle w:val="4"/>
        <w:bidi w:val="0"/>
        <w:rPr>
          <w:rFonts w:hint="eastAsia"/>
          <w:lang w:val="en-US" w:eastAsia="zh-CN"/>
        </w:rPr>
      </w:pPr>
      <w:bookmarkStart w:id="6" w:name="_Toc1804"/>
      <w:r>
        <w:rPr>
          <w:rFonts w:hint="eastAsia"/>
          <w:lang w:val="en-US" w:eastAsia="zh-CN"/>
        </w:rPr>
        <w:t>数据维护</w:t>
      </w:r>
      <w:bookmarkEnd w:id="6"/>
    </w:p>
    <w:p w14:paraId="3B3D2DD0">
      <w:pPr>
        <w:pStyle w:val="5"/>
        <w:bidi w:val="0"/>
        <w:rPr>
          <w:rFonts w:hint="eastAsia"/>
          <w:lang w:val="en-US" w:eastAsia="zh-CN"/>
        </w:rPr>
      </w:pPr>
      <w:bookmarkStart w:id="7" w:name="_Toc28035"/>
      <w:r>
        <w:rPr>
          <w:rFonts w:hint="eastAsia"/>
          <w:lang w:val="en-US" w:eastAsia="zh-CN"/>
        </w:rPr>
        <w:t>服务内容</w:t>
      </w:r>
      <w:bookmarkEnd w:id="7"/>
    </w:p>
    <w:p w14:paraId="7E5B97D4">
      <w:pPr>
        <w:bidi w:val="0"/>
        <w:rPr>
          <w:rFonts w:hint="eastAsia" w:ascii="宋体" w:hAnsi="宋体" w:eastAsia="宋体" w:cs="宋体"/>
          <w:sz w:val="24"/>
          <w:szCs w:val="24"/>
          <w:lang w:val="en-US" w:eastAsia="zh-CN"/>
        </w:rPr>
      </w:pPr>
    </w:p>
    <w:tbl>
      <w:tblPr>
        <w:tblStyle w:val="18"/>
        <w:tblW w:w="5000" w:type="pct"/>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autofit"/>
        <w:tblCellMar>
          <w:top w:w="0" w:type="dxa"/>
          <w:left w:w="28" w:type="dxa"/>
          <w:bottom w:w="0" w:type="dxa"/>
          <w:right w:w="28" w:type="dxa"/>
        </w:tblCellMar>
      </w:tblPr>
      <w:tblGrid>
        <w:gridCol w:w="652"/>
        <w:gridCol w:w="967"/>
        <w:gridCol w:w="3040"/>
        <w:gridCol w:w="1659"/>
        <w:gridCol w:w="1065"/>
        <w:gridCol w:w="979"/>
      </w:tblGrid>
      <w:tr w14:paraId="63930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5000" w:type="pct"/>
            <w:gridSpan w:val="6"/>
            <w:tcBorders>
              <w:tl2br w:val="nil"/>
              <w:tr2bl w:val="nil"/>
            </w:tcBorders>
            <w:noWrap w:val="0"/>
            <w:vAlign w:val="center"/>
          </w:tcPr>
          <w:p w14:paraId="5B9CB759">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数据维护</w:t>
            </w:r>
          </w:p>
        </w:tc>
      </w:tr>
      <w:tr w14:paraId="3AC1BF7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noWrap w:val="0"/>
            <w:vAlign w:val="center"/>
          </w:tcPr>
          <w:p w14:paraId="6C3885C5">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br w:type="page"/>
            </w:r>
            <w:r>
              <w:rPr>
                <w:rFonts w:hint="eastAsia" w:ascii="宋体" w:hAnsi="宋体" w:eastAsia="宋体" w:cs="宋体"/>
                <w:sz w:val="24"/>
                <w:szCs w:val="24"/>
                <w:lang w:val="zh-CN"/>
              </w:rPr>
              <w:t>序号</w:t>
            </w:r>
          </w:p>
        </w:tc>
        <w:tc>
          <w:tcPr>
            <w:tcW w:w="578" w:type="pct"/>
            <w:tcBorders>
              <w:tl2br w:val="nil"/>
              <w:tr2bl w:val="nil"/>
            </w:tcBorders>
            <w:noWrap w:val="0"/>
            <w:vAlign w:val="center"/>
          </w:tcPr>
          <w:p w14:paraId="13FA279D">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t>服务项目</w:t>
            </w:r>
          </w:p>
        </w:tc>
        <w:tc>
          <w:tcPr>
            <w:tcW w:w="1818" w:type="pct"/>
            <w:tcBorders>
              <w:tl2br w:val="nil"/>
              <w:tr2bl w:val="nil"/>
            </w:tcBorders>
            <w:noWrap w:val="0"/>
            <w:vAlign w:val="center"/>
          </w:tcPr>
          <w:p w14:paraId="079E67CE">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服务内容</w:t>
            </w:r>
          </w:p>
        </w:tc>
        <w:tc>
          <w:tcPr>
            <w:tcW w:w="992" w:type="pct"/>
            <w:tcBorders>
              <w:tl2br w:val="nil"/>
              <w:tr2bl w:val="nil"/>
            </w:tcBorders>
            <w:noWrap w:val="0"/>
            <w:vAlign w:val="center"/>
          </w:tcPr>
          <w:p w14:paraId="619B8CFF">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服务方式</w:t>
            </w:r>
          </w:p>
        </w:tc>
        <w:tc>
          <w:tcPr>
            <w:tcW w:w="637" w:type="pct"/>
            <w:tcBorders>
              <w:tl2br w:val="nil"/>
              <w:tr2bl w:val="nil"/>
            </w:tcBorders>
            <w:noWrap w:val="0"/>
            <w:vAlign w:val="center"/>
          </w:tcPr>
          <w:p w14:paraId="194BAD89">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t>响应时间</w:t>
            </w:r>
          </w:p>
        </w:tc>
        <w:tc>
          <w:tcPr>
            <w:tcW w:w="582" w:type="pct"/>
            <w:tcBorders>
              <w:tl2br w:val="nil"/>
              <w:tr2bl w:val="nil"/>
            </w:tcBorders>
            <w:noWrap w:val="0"/>
            <w:vAlign w:val="center"/>
          </w:tcPr>
          <w:p w14:paraId="1589DE79">
            <w:pPr>
              <w:bidi w:val="0"/>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备注</w:t>
            </w:r>
          </w:p>
        </w:tc>
      </w:tr>
      <w:tr w14:paraId="7B28CB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noWrap w:val="0"/>
            <w:vAlign w:val="center"/>
          </w:tcPr>
          <w:p w14:paraId="54971B96">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1</w:t>
            </w:r>
          </w:p>
        </w:tc>
        <w:tc>
          <w:tcPr>
            <w:tcW w:w="578" w:type="pct"/>
            <w:tcBorders>
              <w:tl2br w:val="nil"/>
              <w:tr2bl w:val="nil"/>
            </w:tcBorders>
            <w:noWrap w:val="0"/>
            <w:vAlign w:val="center"/>
          </w:tcPr>
          <w:p w14:paraId="259134B0">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数据恢复</w:t>
            </w:r>
          </w:p>
        </w:tc>
        <w:tc>
          <w:tcPr>
            <w:tcW w:w="1818" w:type="pct"/>
            <w:tcBorders>
              <w:tl2br w:val="nil"/>
              <w:tr2bl w:val="nil"/>
            </w:tcBorders>
            <w:noWrap w:val="0"/>
            <w:vAlign w:val="center"/>
          </w:tcPr>
          <w:p w14:paraId="4D877244">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因院方操作不当或其它原因导致病历中数据丢失（包括但不限于患者的所有病历数据，如入院记录、病程、手术记录、出院记录等），协助院方系统维护人员恢复病历数据。</w:t>
            </w:r>
          </w:p>
        </w:tc>
        <w:tc>
          <w:tcPr>
            <w:tcW w:w="992" w:type="pct"/>
            <w:tcBorders>
              <w:tl2br w:val="nil"/>
              <w:tr2bl w:val="nil"/>
            </w:tcBorders>
            <w:noWrap w:val="0"/>
            <w:vAlign w:val="center"/>
          </w:tcPr>
          <w:p w14:paraId="6C156C88">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p w14:paraId="32049765">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现场</w:t>
            </w:r>
          </w:p>
        </w:tc>
        <w:tc>
          <w:tcPr>
            <w:tcW w:w="637" w:type="pct"/>
            <w:tcBorders>
              <w:tl2br w:val="nil"/>
              <w:tr2bl w:val="nil"/>
            </w:tcBorders>
            <w:noWrap w:val="0"/>
            <w:vAlign w:val="center"/>
          </w:tcPr>
          <w:p w14:paraId="005741E0">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82" w:type="pct"/>
            <w:tcBorders>
              <w:tl2br w:val="nil"/>
              <w:tr2bl w:val="nil"/>
            </w:tcBorders>
            <w:noWrap w:val="0"/>
            <w:vAlign w:val="center"/>
          </w:tcPr>
          <w:p w14:paraId="301AA18A">
            <w:pPr>
              <w:bidi w:val="0"/>
              <w:spacing w:line="360" w:lineRule="auto"/>
              <w:rPr>
                <w:rFonts w:hint="eastAsia" w:ascii="宋体" w:hAnsi="宋体" w:eastAsia="宋体" w:cs="宋体"/>
                <w:sz w:val="24"/>
                <w:szCs w:val="24"/>
                <w:lang w:val="zh-CN"/>
              </w:rPr>
            </w:pPr>
          </w:p>
        </w:tc>
      </w:tr>
      <w:tr w14:paraId="26DF5A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noWrap w:val="0"/>
            <w:vAlign w:val="center"/>
          </w:tcPr>
          <w:p w14:paraId="5AE0253C">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2</w:t>
            </w:r>
          </w:p>
        </w:tc>
        <w:tc>
          <w:tcPr>
            <w:tcW w:w="578" w:type="pct"/>
            <w:tcBorders>
              <w:tl2br w:val="nil"/>
              <w:tr2bl w:val="nil"/>
            </w:tcBorders>
            <w:noWrap w:val="0"/>
            <w:vAlign w:val="center"/>
          </w:tcPr>
          <w:p w14:paraId="02B0949B">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数据调整</w:t>
            </w:r>
          </w:p>
        </w:tc>
        <w:tc>
          <w:tcPr>
            <w:tcW w:w="1818" w:type="pct"/>
            <w:tcBorders>
              <w:tl2br w:val="nil"/>
              <w:tr2bl w:val="nil"/>
            </w:tcBorders>
            <w:noWrap w:val="0"/>
            <w:vAlign w:val="center"/>
          </w:tcPr>
          <w:p w14:paraId="027391DE">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因院方操作不当或其它原因造成患者数据出现部分或全部错误（包括但不限于查找不到患者信息、不能编辑病历信息等），协助院方系统维护人员进行数据调整。</w:t>
            </w:r>
          </w:p>
        </w:tc>
        <w:tc>
          <w:tcPr>
            <w:tcW w:w="992" w:type="pct"/>
            <w:tcBorders>
              <w:tl2br w:val="nil"/>
              <w:tr2bl w:val="nil"/>
            </w:tcBorders>
            <w:noWrap w:val="0"/>
            <w:vAlign w:val="center"/>
          </w:tcPr>
          <w:p w14:paraId="70D0E7D7">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p w14:paraId="74D5FCDF">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现场</w:t>
            </w:r>
          </w:p>
        </w:tc>
        <w:tc>
          <w:tcPr>
            <w:tcW w:w="637" w:type="pct"/>
            <w:tcBorders>
              <w:tl2br w:val="nil"/>
              <w:tr2bl w:val="nil"/>
            </w:tcBorders>
            <w:noWrap w:val="0"/>
            <w:vAlign w:val="center"/>
          </w:tcPr>
          <w:p w14:paraId="560AA487">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2小时内响应</w:t>
            </w:r>
          </w:p>
        </w:tc>
        <w:tc>
          <w:tcPr>
            <w:tcW w:w="582" w:type="pct"/>
            <w:tcBorders>
              <w:tl2br w:val="nil"/>
              <w:tr2bl w:val="nil"/>
            </w:tcBorders>
            <w:noWrap w:val="0"/>
            <w:vAlign w:val="center"/>
          </w:tcPr>
          <w:p w14:paraId="729A8627">
            <w:pPr>
              <w:bidi w:val="0"/>
              <w:spacing w:line="360" w:lineRule="auto"/>
              <w:rPr>
                <w:rFonts w:hint="eastAsia" w:ascii="宋体" w:hAnsi="宋体" w:eastAsia="宋体" w:cs="宋体"/>
                <w:sz w:val="24"/>
                <w:szCs w:val="24"/>
                <w:lang w:val="zh-CN"/>
              </w:rPr>
            </w:pPr>
          </w:p>
        </w:tc>
      </w:tr>
      <w:tr w14:paraId="332FE7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28" w:type="dxa"/>
            <w:bottom w:w="0" w:type="dxa"/>
            <w:right w:w="28" w:type="dxa"/>
          </w:tblCellMar>
        </w:tblPrEx>
        <w:trPr>
          <w:trHeight w:val="20" w:hRule="atLeast"/>
          <w:jc w:val="center"/>
        </w:trPr>
        <w:tc>
          <w:tcPr>
            <w:tcW w:w="390" w:type="pct"/>
            <w:tcBorders>
              <w:tl2br w:val="nil"/>
              <w:tr2bl w:val="nil"/>
            </w:tcBorders>
            <w:noWrap w:val="0"/>
            <w:vAlign w:val="center"/>
          </w:tcPr>
          <w:p w14:paraId="74932DB3">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3</w:t>
            </w:r>
          </w:p>
        </w:tc>
        <w:tc>
          <w:tcPr>
            <w:tcW w:w="578" w:type="pct"/>
            <w:tcBorders>
              <w:tl2br w:val="nil"/>
              <w:tr2bl w:val="nil"/>
            </w:tcBorders>
            <w:noWrap w:val="0"/>
            <w:vAlign w:val="center"/>
          </w:tcPr>
          <w:p w14:paraId="3B1553C4">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特殊服务</w:t>
            </w:r>
          </w:p>
        </w:tc>
        <w:tc>
          <w:tcPr>
            <w:tcW w:w="1818" w:type="pct"/>
            <w:tcBorders>
              <w:tl2br w:val="nil"/>
              <w:tr2bl w:val="nil"/>
            </w:tcBorders>
            <w:noWrap w:val="0"/>
            <w:vAlign w:val="center"/>
          </w:tcPr>
          <w:p w14:paraId="1FD8682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系统灾难发生时，公司承诺立即响应，减少数据损失，降低灾难对整个系统正常运行的影响。</w:t>
            </w:r>
          </w:p>
        </w:tc>
        <w:tc>
          <w:tcPr>
            <w:tcW w:w="992" w:type="pct"/>
            <w:tcBorders>
              <w:tl2br w:val="nil"/>
              <w:tr2bl w:val="nil"/>
            </w:tcBorders>
            <w:noWrap w:val="0"/>
            <w:vAlign w:val="center"/>
          </w:tcPr>
          <w:p w14:paraId="40488B20">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电话、电子邮箱网络远程、QQ、现场</w:t>
            </w:r>
          </w:p>
        </w:tc>
        <w:tc>
          <w:tcPr>
            <w:tcW w:w="637" w:type="pct"/>
            <w:tcBorders>
              <w:tl2br w:val="nil"/>
              <w:tr2bl w:val="nil"/>
            </w:tcBorders>
            <w:noWrap w:val="0"/>
            <w:vAlign w:val="center"/>
          </w:tcPr>
          <w:p w14:paraId="63E159F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立即响应</w:t>
            </w:r>
          </w:p>
        </w:tc>
        <w:tc>
          <w:tcPr>
            <w:tcW w:w="582" w:type="pct"/>
            <w:tcBorders>
              <w:tl2br w:val="nil"/>
              <w:tr2bl w:val="nil"/>
            </w:tcBorders>
            <w:noWrap w:val="0"/>
            <w:vAlign w:val="center"/>
          </w:tcPr>
          <w:p w14:paraId="3CC4FDEF">
            <w:pPr>
              <w:bidi w:val="0"/>
              <w:spacing w:line="360" w:lineRule="auto"/>
              <w:rPr>
                <w:rFonts w:hint="eastAsia" w:ascii="宋体" w:hAnsi="宋体" w:eastAsia="宋体" w:cs="宋体"/>
                <w:sz w:val="24"/>
                <w:szCs w:val="24"/>
                <w:lang w:val="zh-CN"/>
              </w:rPr>
            </w:pPr>
          </w:p>
        </w:tc>
      </w:tr>
    </w:tbl>
    <w:p w14:paraId="28043E94">
      <w:pPr>
        <w:pStyle w:val="5"/>
        <w:bidi w:val="0"/>
        <w:rPr>
          <w:rFonts w:hint="eastAsia"/>
          <w:lang w:val="en-US" w:eastAsia="zh-CN"/>
        </w:rPr>
      </w:pPr>
      <w:bookmarkStart w:id="8" w:name="_Toc12781"/>
      <w:r>
        <w:rPr>
          <w:rFonts w:hint="eastAsia"/>
          <w:lang w:val="en-US" w:eastAsia="zh-CN"/>
        </w:rPr>
        <w:t>服务范围</w:t>
      </w:r>
      <w:bookmarkEnd w:id="8"/>
    </w:p>
    <w:p w14:paraId="705DCD0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通过电话、电子邮箱、网络远程、QQ、必要时现场维护等方式，公司提供以下服务：</w:t>
      </w:r>
    </w:p>
    <w:p w14:paraId="42D09651">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提供数据恢复服务，因院方操作不当或其它原因导致病历中数据丢失（包括但不限于患者的所有病历数据，如入院记录、病程、手术记录、出院记录等），协助院方系统维护人员查找原因，恢复病历数据。</w:t>
      </w:r>
    </w:p>
    <w:p w14:paraId="175F5A15">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提供数据调整服务，因院方操作不当或其它原因造成患者数据出现部分或全部错误（包括但不限于查找不到患者信息、不能编辑病历信息等），协助院方系统维护人员查找原因，并对错误数据进行调整。</w:t>
      </w:r>
    </w:p>
    <w:p w14:paraId="118214C2">
      <w:pPr>
        <w:keepNext w:val="0"/>
        <w:keepLines w:val="0"/>
        <w:pageBreakBefore w:val="0"/>
        <w:widowControl w:val="0"/>
        <w:numPr>
          <w:ilvl w:val="0"/>
          <w:numId w:val="7"/>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提供灾难解决办法，系统灾难发生时，公司承诺立即响应，必要时人员以最快速度到达现场，以减少数据损失，降低灾难对整个系统正常运行的影响。</w:t>
      </w:r>
    </w:p>
    <w:p w14:paraId="13A514E6">
      <w:pPr>
        <w:pStyle w:val="4"/>
        <w:bidi w:val="0"/>
        <w:rPr>
          <w:rFonts w:hint="eastAsia"/>
          <w:lang w:val="zh-CN"/>
        </w:rPr>
      </w:pPr>
      <w:bookmarkStart w:id="9" w:name="_Toc23023"/>
      <w:r>
        <w:rPr>
          <w:rFonts w:hint="eastAsia"/>
          <w:lang w:val="en-US" w:eastAsia="zh-CN"/>
        </w:rPr>
        <w:t>其他服务</w:t>
      </w:r>
      <w:bookmarkEnd w:id="9"/>
    </w:p>
    <w:p w14:paraId="03D73894">
      <w:pPr>
        <w:pStyle w:val="5"/>
        <w:bidi w:val="0"/>
        <w:rPr>
          <w:rFonts w:hint="eastAsia"/>
          <w:lang w:val="en-US" w:eastAsia="zh-CN"/>
        </w:rPr>
      </w:pPr>
      <w:bookmarkStart w:id="10" w:name="_Toc11284"/>
      <w:r>
        <w:rPr>
          <w:rFonts w:hint="eastAsia"/>
          <w:lang w:val="en-US" w:eastAsia="zh-CN"/>
        </w:rPr>
        <w:t>服务内容</w:t>
      </w:r>
      <w:bookmarkEnd w:id="10"/>
    </w:p>
    <w:p w14:paraId="618C0A48">
      <w:pPr>
        <w:bidi w:val="0"/>
        <w:rPr>
          <w:rFonts w:hint="eastAsia" w:ascii="宋体" w:hAnsi="宋体" w:eastAsia="宋体" w:cs="宋体"/>
          <w:sz w:val="24"/>
          <w:szCs w:val="24"/>
          <w:lang w:val="zh-CN"/>
        </w:rPr>
      </w:pPr>
    </w:p>
    <w:tbl>
      <w:tblPr>
        <w:tblStyle w:val="18"/>
        <w:tblW w:w="5000"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28" w:type="dxa"/>
          <w:bottom w:w="0" w:type="dxa"/>
          <w:right w:w="28" w:type="dxa"/>
        </w:tblCellMar>
      </w:tblPr>
      <w:tblGrid>
        <w:gridCol w:w="569"/>
        <w:gridCol w:w="973"/>
        <w:gridCol w:w="3134"/>
        <w:gridCol w:w="1659"/>
        <w:gridCol w:w="1065"/>
        <w:gridCol w:w="962"/>
      </w:tblGrid>
      <w:tr w14:paraId="2BC43A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5000" w:type="pct"/>
            <w:gridSpan w:val="6"/>
            <w:tcBorders>
              <w:tl2br w:val="nil"/>
              <w:tr2bl w:val="nil"/>
            </w:tcBorders>
            <w:noWrap w:val="0"/>
            <w:vAlign w:val="center"/>
          </w:tcPr>
          <w:p w14:paraId="278AFEAE">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其他服务</w:t>
            </w:r>
          </w:p>
        </w:tc>
      </w:tr>
      <w:tr w14:paraId="5CFE19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1859A5A5">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br w:type="page"/>
            </w:r>
            <w:r>
              <w:rPr>
                <w:rFonts w:hint="eastAsia" w:ascii="宋体" w:hAnsi="宋体" w:eastAsia="宋体" w:cs="宋体"/>
                <w:sz w:val="24"/>
                <w:szCs w:val="24"/>
                <w:lang w:val="zh-CN"/>
              </w:rPr>
              <w:t>序号</w:t>
            </w:r>
          </w:p>
        </w:tc>
        <w:tc>
          <w:tcPr>
            <w:tcW w:w="582" w:type="pct"/>
            <w:tcBorders>
              <w:tl2br w:val="nil"/>
              <w:tr2bl w:val="nil"/>
            </w:tcBorders>
            <w:noWrap w:val="0"/>
            <w:vAlign w:val="center"/>
          </w:tcPr>
          <w:p w14:paraId="4389613B">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t>服务项目</w:t>
            </w:r>
          </w:p>
        </w:tc>
        <w:tc>
          <w:tcPr>
            <w:tcW w:w="1874" w:type="pct"/>
            <w:tcBorders>
              <w:tl2br w:val="nil"/>
              <w:tr2bl w:val="nil"/>
            </w:tcBorders>
            <w:noWrap w:val="0"/>
            <w:vAlign w:val="center"/>
          </w:tcPr>
          <w:p w14:paraId="55DD76CB">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服务内容</w:t>
            </w:r>
          </w:p>
        </w:tc>
        <w:tc>
          <w:tcPr>
            <w:tcW w:w="992" w:type="pct"/>
            <w:tcBorders>
              <w:tl2br w:val="nil"/>
              <w:tr2bl w:val="nil"/>
            </w:tcBorders>
            <w:noWrap w:val="0"/>
            <w:vAlign w:val="center"/>
          </w:tcPr>
          <w:p w14:paraId="3D2B7303">
            <w:pPr>
              <w:bidi w:val="0"/>
              <w:spacing w:line="360" w:lineRule="auto"/>
              <w:jc w:val="center"/>
              <w:rPr>
                <w:rFonts w:hint="eastAsia" w:ascii="宋体" w:hAnsi="宋体" w:eastAsia="宋体" w:cs="宋体"/>
                <w:sz w:val="24"/>
                <w:szCs w:val="24"/>
                <w:lang w:val="zh-CN"/>
              </w:rPr>
            </w:pPr>
            <w:r>
              <w:rPr>
                <w:rFonts w:hint="eastAsia" w:ascii="宋体" w:hAnsi="宋体" w:eastAsia="宋体" w:cs="宋体"/>
                <w:sz w:val="24"/>
                <w:szCs w:val="24"/>
                <w:lang w:val="zh-CN"/>
              </w:rPr>
              <w:t>服务方式</w:t>
            </w:r>
          </w:p>
        </w:tc>
        <w:tc>
          <w:tcPr>
            <w:tcW w:w="637" w:type="pct"/>
            <w:tcBorders>
              <w:tl2br w:val="nil"/>
              <w:tr2bl w:val="nil"/>
            </w:tcBorders>
            <w:noWrap w:val="0"/>
            <w:vAlign w:val="center"/>
          </w:tcPr>
          <w:p w14:paraId="7F50DC19">
            <w:pPr>
              <w:bidi w:val="0"/>
              <w:spacing w:line="360" w:lineRule="auto"/>
              <w:ind w:left="0" w:leftChars="0" w:firstLine="0" w:firstLineChars="0"/>
              <w:jc w:val="both"/>
              <w:rPr>
                <w:rFonts w:hint="eastAsia" w:ascii="宋体" w:hAnsi="宋体" w:eastAsia="宋体" w:cs="宋体"/>
                <w:sz w:val="24"/>
                <w:szCs w:val="24"/>
                <w:lang w:val="zh-CN"/>
              </w:rPr>
            </w:pPr>
            <w:r>
              <w:rPr>
                <w:rFonts w:hint="eastAsia" w:ascii="宋体" w:hAnsi="宋体" w:eastAsia="宋体" w:cs="宋体"/>
                <w:sz w:val="24"/>
                <w:szCs w:val="24"/>
                <w:lang w:val="zh-CN"/>
              </w:rPr>
              <w:t>响应时间</w:t>
            </w:r>
          </w:p>
        </w:tc>
        <w:tc>
          <w:tcPr>
            <w:tcW w:w="571" w:type="pct"/>
            <w:tcBorders>
              <w:tl2br w:val="nil"/>
              <w:tr2bl w:val="nil"/>
            </w:tcBorders>
            <w:noWrap w:val="0"/>
            <w:vAlign w:val="center"/>
          </w:tcPr>
          <w:p w14:paraId="0CEE9814">
            <w:pPr>
              <w:bidi w:val="0"/>
              <w:spacing w:line="360" w:lineRule="auto"/>
              <w:jc w:val="center"/>
              <w:rPr>
                <w:rFonts w:hint="eastAsia" w:ascii="宋体" w:hAnsi="宋体" w:eastAsia="宋体" w:cs="宋体"/>
                <w:sz w:val="24"/>
                <w:szCs w:val="24"/>
                <w:lang w:val="en-US" w:eastAsia="zh-CN"/>
              </w:rPr>
            </w:pPr>
            <w:r>
              <w:rPr>
                <w:rFonts w:hint="eastAsia" w:ascii="宋体" w:hAnsi="宋体" w:cs="宋体"/>
                <w:sz w:val="24"/>
                <w:szCs w:val="24"/>
                <w:lang w:val="en-US" w:eastAsia="zh-CN"/>
              </w:rPr>
              <w:t>备注</w:t>
            </w:r>
          </w:p>
        </w:tc>
      </w:tr>
      <w:tr w14:paraId="0C2EA3E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4EE29B64">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1</w:t>
            </w:r>
          </w:p>
        </w:tc>
        <w:tc>
          <w:tcPr>
            <w:tcW w:w="582" w:type="pct"/>
            <w:tcBorders>
              <w:tl2br w:val="nil"/>
              <w:tr2bl w:val="nil"/>
            </w:tcBorders>
            <w:noWrap w:val="0"/>
            <w:vAlign w:val="center"/>
          </w:tcPr>
          <w:p w14:paraId="4775C6DC">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管理培训</w:t>
            </w:r>
          </w:p>
        </w:tc>
        <w:tc>
          <w:tcPr>
            <w:tcW w:w="1874" w:type="pct"/>
            <w:tcBorders>
              <w:tl2br w:val="nil"/>
              <w:tr2bl w:val="nil"/>
            </w:tcBorders>
            <w:noWrap w:val="0"/>
            <w:vAlign w:val="center"/>
          </w:tcPr>
          <w:p w14:paraId="18744FF4">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对院方管理人员或相关负责人进行系统的管理思想、管理流程统一培训。</w:t>
            </w:r>
          </w:p>
        </w:tc>
        <w:tc>
          <w:tcPr>
            <w:tcW w:w="992" w:type="pct"/>
            <w:tcBorders>
              <w:tl2br w:val="nil"/>
              <w:tr2bl w:val="nil"/>
            </w:tcBorders>
            <w:noWrap w:val="0"/>
            <w:vAlign w:val="center"/>
          </w:tcPr>
          <w:p w14:paraId="0844B08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院方参加培训人员到公司指定地点接受培训或公司到院方所在地进行培训</w:t>
            </w:r>
          </w:p>
        </w:tc>
        <w:tc>
          <w:tcPr>
            <w:tcW w:w="637" w:type="pct"/>
            <w:tcBorders>
              <w:tl2br w:val="nil"/>
              <w:tr2bl w:val="nil"/>
            </w:tcBorders>
            <w:noWrap w:val="0"/>
            <w:vAlign w:val="center"/>
          </w:tcPr>
          <w:p w14:paraId="3A0CFE06">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法定工作日预约</w:t>
            </w:r>
          </w:p>
        </w:tc>
        <w:tc>
          <w:tcPr>
            <w:tcW w:w="571" w:type="pct"/>
            <w:tcBorders>
              <w:tl2br w:val="nil"/>
              <w:tr2bl w:val="nil"/>
            </w:tcBorders>
            <w:noWrap w:val="0"/>
            <w:vAlign w:val="center"/>
          </w:tcPr>
          <w:p w14:paraId="55F9C2F3">
            <w:pPr>
              <w:bidi w:val="0"/>
              <w:spacing w:line="360" w:lineRule="auto"/>
              <w:jc w:val="center"/>
              <w:rPr>
                <w:rFonts w:hint="eastAsia" w:ascii="宋体" w:hAnsi="宋体" w:eastAsia="宋体" w:cs="宋体"/>
                <w:sz w:val="24"/>
                <w:szCs w:val="24"/>
                <w:lang w:val="zh-CN"/>
              </w:rPr>
            </w:pPr>
          </w:p>
        </w:tc>
      </w:tr>
      <w:tr w14:paraId="0D827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386E43AF">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2</w:t>
            </w:r>
          </w:p>
        </w:tc>
        <w:tc>
          <w:tcPr>
            <w:tcW w:w="582" w:type="pct"/>
            <w:tcBorders>
              <w:tl2br w:val="nil"/>
              <w:tr2bl w:val="nil"/>
            </w:tcBorders>
            <w:noWrap w:val="0"/>
            <w:vAlign w:val="center"/>
          </w:tcPr>
          <w:p w14:paraId="2D6D4084">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维护培训</w:t>
            </w:r>
          </w:p>
        </w:tc>
        <w:tc>
          <w:tcPr>
            <w:tcW w:w="1874" w:type="pct"/>
            <w:tcBorders>
              <w:tl2br w:val="nil"/>
              <w:tr2bl w:val="nil"/>
            </w:tcBorders>
            <w:noWrap w:val="0"/>
            <w:vAlign w:val="center"/>
          </w:tcPr>
          <w:p w14:paraId="75407CD6">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因院方人员离职或岗位调动需要进行培训的系统维护人员。</w:t>
            </w:r>
          </w:p>
        </w:tc>
        <w:tc>
          <w:tcPr>
            <w:tcW w:w="992" w:type="pct"/>
            <w:tcBorders>
              <w:tl2br w:val="nil"/>
              <w:tr2bl w:val="nil"/>
            </w:tcBorders>
            <w:noWrap w:val="0"/>
            <w:vAlign w:val="center"/>
          </w:tcPr>
          <w:p w14:paraId="180517A9">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院方参加培训人员到公司指定地点接受培训或公司到院方所在地进行培训</w:t>
            </w:r>
          </w:p>
        </w:tc>
        <w:tc>
          <w:tcPr>
            <w:tcW w:w="637" w:type="pct"/>
            <w:tcBorders>
              <w:tl2br w:val="nil"/>
              <w:tr2bl w:val="nil"/>
            </w:tcBorders>
            <w:noWrap w:val="0"/>
            <w:vAlign w:val="center"/>
          </w:tcPr>
          <w:p w14:paraId="0BF6109C">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法定工作日预约</w:t>
            </w:r>
          </w:p>
        </w:tc>
        <w:tc>
          <w:tcPr>
            <w:tcW w:w="571" w:type="pct"/>
            <w:tcBorders>
              <w:tl2br w:val="nil"/>
              <w:tr2bl w:val="nil"/>
            </w:tcBorders>
            <w:noWrap w:val="0"/>
            <w:vAlign w:val="center"/>
          </w:tcPr>
          <w:p w14:paraId="4BF29AEC">
            <w:pPr>
              <w:bidi w:val="0"/>
              <w:spacing w:line="360" w:lineRule="auto"/>
              <w:jc w:val="center"/>
              <w:rPr>
                <w:rFonts w:hint="eastAsia" w:ascii="宋体" w:hAnsi="宋体" w:eastAsia="宋体" w:cs="宋体"/>
                <w:sz w:val="24"/>
                <w:szCs w:val="24"/>
                <w:lang w:val="zh-CN"/>
              </w:rPr>
            </w:pPr>
          </w:p>
        </w:tc>
      </w:tr>
      <w:tr w14:paraId="384482E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08622A0A">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3</w:t>
            </w:r>
          </w:p>
        </w:tc>
        <w:tc>
          <w:tcPr>
            <w:tcW w:w="582" w:type="pct"/>
            <w:tcBorders>
              <w:tl2br w:val="nil"/>
              <w:tr2bl w:val="nil"/>
            </w:tcBorders>
            <w:noWrap w:val="0"/>
            <w:vAlign w:val="center"/>
          </w:tcPr>
          <w:p w14:paraId="3BE6AE39">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巡检服务</w:t>
            </w:r>
          </w:p>
        </w:tc>
        <w:tc>
          <w:tcPr>
            <w:tcW w:w="1874" w:type="pct"/>
            <w:tcBorders>
              <w:tl2br w:val="nil"/>
              <w:tr2bl w:val="nil"/>
            </w:tcBorders>
            <w:noWrap w:val="0"/>
            <w:vAlign w:val="center"/>
          </w:tcPr>
          <w:p w14:paraId="1867F253">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到院方现场检查系统模块运行情况，与院方维护人员沟通，提供常见问题的解决办法，巡检结束后给院方提供巡检报告。</w:t>
            </w:r>
          </w:p>
        </w:tc>
        <w:tc>
          <w:tcPr>
            <w:tcW w:w="992" w:type="pct"/>
            <w:tcBorders>
              <w:tl2br w:val="nil"/>
              <w:tr2bl w:val="nil"/>
            </w:tcBorders>
            <w:noWrap w:val="0"/>
            <w:vAlign w:val="center"/>
          </w:tcPr>
          <w:p w14:paraId="358CE045">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每年2次、院方现场</w:t>
            </w:r>
          </w:p>
        </w:tc>
        <w:tc>
          <w:tcPr>
            <w:tcW w:w="637" w:type="pct"/>
            <w:tcBorders>
              <w:tl2br w:val="nil"/>
              <w:tr2bl w:val="nil"/>
            </w:tcBorders>
            <w:noWrap w:val="0"/>
            <w:vAlign w:val="center"/>
          </w:tcPr>
          <w:p w14:paraId="6A401AE3">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法定工作日预约</w:t>
            </w:r>
          </w:p>
        </w:tc>
        <w:tc>
          <w:tcPr>
            <w:tcW w:w="571" w:type="pct"/>
            <w:tcBorders>
              <w:tl2br w:val="nil"/>
              <w:tr2bl w:val="nil"/>
            </w:tcBorders>
            <w:noWrap w:val="0"/>
            <w:vAlign w:val="center"/>
          </w:tcPr>
          <w:p w14:paraId="6759BA65">
            <w:pPr>
              <w:bidi w:val="0"/>
              <w:spacing w:line="360" w:lineRule="auto"/>
              <w:jc w:val="center"/>
              <w:rPr>
                <w:rFonts w:hint="eastAsia" w:ascii="宋体" w:hAnsi="宋体" w:eastAsia="宋体" w:cs="宋体"/>
                <w:sz w:val="24"/>
                <w:szCs w:val="24"/>
                <w:lang w:val="zh-CN"/>
              </w:rPr>
            </w:pPr>
          </w:p>
        </w:tc>
      </w:tr>
      <w:tr w14:paraId="6A5C9A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13EA3B54">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4</w:t>
            </w:r>
          </w:p>
        </w:tc>
        <w:tc>
          <w:tcPr>
            <w:tcW w:w="582" w:type="pct"/>
            <w:tcBorders>
              <w:tl2br w:val="nil"/>
              <w:tr2bl w:val="nil"/>
            </w:tcBorders>
            <w:noWrap w:val="0"/>
            <w:vAlign w:val="center"/>
          </w:tcPr>
          <w:p w14:paraId="67D38596">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热线服务</w:t>
            </w:r>
          </w:p>
        </w:tc>
        <w:tc>
          <w:tcPr>
            <w:tcW w:w="1874" w:type="pct"/>
            <w:tcBorders>
              <w:tl2br w:val="nil"/>
              <w:tr2bl w:val="nil"/>
            </w:tcBorders>
            <w:noWrap w:val="0"/>
            <w:vAlign w:val="center"/>
          </w:tcPr>
          <w:p w14:paraId="50E40806">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提供与软件系统相关的咨询服务及建立系统维护制度</w:t>
            </w:r>
          </w:p>
        </w:tc>
        <w:tc>
          <w:tcPr>
            <w:tcW w:w="992" w:type="pct"/>
            <w:tcBorders>
              <w:tl2br w:val="nil"/>
              <w:tr2bl w:val="nil"/>
            </w:tcBorders>
            <w:noWrap w:val="0"/>
            <w:vAlign w:val="center"/>
          </w:tcPr>
          <w:p w14:paraId="683EF11D">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4B6A65F2">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法定工作日</w:t>
            </w:r>
          </w:p>
        </w:tc>
        <w:tc>
          <w:tcPr>
            <w:tcW w:w="571" w:type="pct"/>
            <w:tcBorders>
              <w:tl2br w:val="nil"/>
              <w:tr2bl w:val="nil"/>
            </w:tcBorders>
            <w:noWrap w:val="0"/>
            <w:vAlign w:val="center"/>
          </w:tcPr>
          <w:p w14:paraId="7EAFBB72">
            <w:pPr>
              <w:bidi w:val="0"/>
              <w:spacing w:line="360" w:lineRule="auto"/>
              <w:jc w:val="center"/>
              <w:rPr>
                <w:rFonts w:hint="eastAsia" w:ascii="宋体" w:hAnsi="宋体" w:eastAsia="宋体" w:cs="宋体"/>
                <w:sz w:val="24"/>
                <w:szCs w:val="24"/>
                <w:lang w:val="zh-CN"/>
              </w:rPr>
            </w:pPr>
          </w:p>
        </w:tc>
      </w:tr>
      <w:tr w14:paraId="0A157AB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28" w:type="dxa"/>
            <w:bottom w:w="0" w:type="dxa"/>
            <w:right w:w="28" w:type="dxa"/>
          </w:tblCellMar>
        </w:tblPrEx>
        <w:trPr>
          <w:trHeight w:val="20" w:hRule="atLeast"/>
          <w:jc w:val="center"/>
        </w:trPr>
        <w:tc>
          <w:tcPr>
            <w:tcW w:w="340" w:type="pct"/>
            <w:tcBorders>
              <w:tl2br w:val="nil"/>
              <w:tr2bl w:val="nil"/>
            </w:tcBorders>
            <w:noWrap w:val="0"/>
            <w:vAlign w:val="center"/>
          </w:tcPr>
          <w:p w14:paraId="6DC6EDCB">
            <w:pPr>
              <w:bidi w:val="0"/>
              <w:spacing w:line="360" w:lineRule="auto"/>
              <w:jc w:val="center"/>
              <w:rPr>
                <w:rFonts w:hint="eastAsia" w:ascii="宋体" w:hAnsi="宋体" w:eastAsia="宋体" w:cs="宋体"/>
                <w:sz w:val="24"/>
                <w:szCs w:val="24"/>
                <w:lang w:val="zh-CN" w:eastAsia="zh-CN"/>
              </w:rPr>
            </w:pPr>
            <w:r>
              <w:rPr>
                <w:rFonts w:hint="eastAsia" w:ascii="宋体" w:hAnsi="宋体" w:eastAsia="宋体" w:cs="宋体"/>
                <w:sz w:val="24"/>
                <w:szCs w:val="24"/>
                <w:lang w:val="en-US" w:eastAsia="zh-CN"/>
              </w:rPr>
              <w:t>5</w:t>
            </w:r>
          </w:p>
        </w:tc>
        <w:tc>
          <w:tcPr>
            <w:tcW w:w="582" w:type="pct"/>
            <w:tcBorders>
              <w:tl2br w:val="nil"/>
              <w:tr2bl w:val="nil"/>
            </w:tcBorders>
            <w:noWrap w:val="0"/>
            <w:vAlign w:val="center"/>
          </w:tcPr>
          <w:p w14:paraId="3F7483C1">
            <w:pPr>
              <w:bidi w:val="0"/>
              <w:spacing w:line="360" w:lineRule="auto"/>
              <w:ind w:left="0" w:leftChars="0" w:firstLine="0" w:firstLineChars="0"/>
              <w:rPr>
                <w:rFonts w:hint="eastAsia" w:ascii="宋体" w:hAnsi="宋体" w:eastAsia="宋体" w:cs="宋体"/>
                <w:sz w:val="24"/>
                <w:szCs w:val="24"/>
                <w:lang w:val="zh-CN"/>
              </w:rPr>
            </w:pPr>
            <w:r>
              <w:rPr>
                <w:rFonts w:hint="eastAsia" w:ascii="宋体" w:hAnsi="宋体" w:eastAsia="宋体" w:cs="宋体"/>
                <w:sz w:val="24"/>
                <w:szCs w:val="24"/>
                <w:lang w:val="zh-CN"/>
              </w:rPr>
              <w:t>问题解答</w:t>
            </w:r>
          </w:p>
        </w:tc>
        <w:tc>
          <w:tcPr>
            <w:tcW w:w="1874" w:type="pct"/>
            <w:tcBorders>
              <w:tl2br w:val="nil"/>
              <w:tr2bl w:val="nil"/>
            </w:tcBorders>
            <w:noWrap w:val="0"/>
            <w:vAlign w:val="center"/>
          </w:tcPr>
          <w:p w14:paraId="1EF93218">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解答系统及数据库疑难问题。</w:t>
            </w:r>
          </w:p>
        </w:tc>
        <w:tc>
          <w:tcPr>
            <w:tcW w:w="992" w:type="pct"/>
            <w:tcBorders>
              <w:tl2br w:val="nil"/>
              <w:tr2bl w:val="nil"/>
            </w:tcBorders>
            <w:noWrap w:val="0"/>
            <w:vAlign w:val="center"/>
          </w:tcPr>
          <w:p w14:paraId="6D16467F">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电话、电子邮箱网络远程、QQ</w:t>
            </w:r>
          </w:p>
        </w:tc>
        <w:tc>
          <w:tcPr>
            <w:tcW w:w="637" w:type="pct"/>
            <w:tcBorders>
              <w:tl2br w:val="nil"/>
              <w:tr2bl w:val="nil"/>
            </w:tcBorders>
            <w:noWrap w:val="0"/>
            <w:vAlign w:val="center"/>
          </w:tcPr>
          <w:p w14:paraId="79929255">
            <w:pPr>
              <w:bidi w:val="0"/>
              <w:spacing w:line="360" w:lineRule="auto"/>
              <w:rPr>
                <w:rFonts w:hint="eastAsia" w:ascii="宋体" w:hAnsi="宋体" w:eastAsia="宋体" w:cs="宋体"/>
                <w:sz w:val="24"/>
                <w:szCs w:val="24"/>
                <w:lang w:val="zh-CN"/>
              </w:rPr>
            </w:pPr>
            <w:r>
              <w:rPr>
                <w:rFonts w:hint="eastAsia" w:ascii="宋体" w:hAnsi="宋体" w:eastAsia="宋体" w:cs="宋体"/>
                <w:sz w:val="24"/>
                <w:szCs w:val="24"/>
                <w:lang w:val="zh-CN"/>
              </w:rPr>
              <w:t>法定工作日</w:t>
            </w:r>
          </w:p>
        </w:tc>
        <w:tc>
          <w:tcPr>
            <w:tcW w:w="571" w:type="pct"/>
            <w:tcBorders>
              <w:tl2br w:val="nil"/>
              <w:tr2bl w:val="nil"/>
            </w:tcBorders>
            <w:noWrap w:val="0"/>
            <w:vAlign w:val="center"/>
          </w:tcPr>
          <w:p w14:paraId="2A0A10F5">
            <w:pPr>
              <w:bidi w:val="0"/>
              <w:spacing w:line="360" w:lineRule="auto"/>
              <w:jc w:val="center"/>
              <w:rPr>
                <w:rFonts w:hint="eastAsia" w:ascii="宋体" w:hAnsi="宋体" w:eastAsia="宋体" w:cs="宋体"/>
                <w:sz w:val="24"/>
                <w:szCs w:val="24"/>
                <w:lang w:val="zh-CN"/>
              </w:rPr>
            </w:pPr>
          </w:p>
        </w:tc>
      </w:tr>
    </w:tbl>
    <w:p w14:paraId="47F98CA6">
      <w:pPr>
        <w:pStyle w:val="5"/>
        <w:bidi w:val="0"/>
        <w:rPr>
          <w:rFonts w:hint="eastAsia"/>
          <w:lang w:val="en-US" w:eastAsia="zh-CN"/>
        </w:rPr>
      </w:pPr>
      <w:bookmarkStart w:id="11" w:name="_Toc6486"/>
      <w:r>
        <w:rPr>
          <w:rFonts w:hint="eastAsia"/>
          <w:lang w:val="en-US" w:eastAsia="zh-CN"/>
        </w:rPr>
        <w:t>服务范围</w:t>
      </w:r>
      <w:bookmarkEnd w:id="11"/>
    </w:p>
    <w:p w14:paraId="0FFD75C3">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提供系统管理培训服务，根据院方需求，可对院方的高级管理人员或全权负责人，以及各岗位计算机管理系统维护管理人员进行岗前的技术培训。了解软件系统内包含的管理思想、管理流程。（注：到公司指定的地点参加培训）培训地点由院方公司商定。</w:t>
      </w:r>
    </w:p>
    <w:p w14:paraId="6F9A0E4B">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公司提供系统维护培训服务，包括院方人员离职、岗位调动、系统维护人员上岗前的培训。（注：到公司指定的地点参加培训）培训地点由院方公司商定。</w:t>
      </w:r>
    </w:p>
    <w:p w14:paraId="16635014">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公司提供一年两次，每次两个工作日的巡检服务，到院方现场检查系统模块运行情况，与院方维护人员沟通，提供常见问题的解决办法，巡检结束后给院方提供巡检报告。</w:t>
      </w:r>
    </w:p>
    <w:p w14:paraId="2A6CE386">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公司提供维护热线，并为院方建立维护档案，给予及时的系统支持；</w:t>
      </w:r>
    </w:p>
    <w:p w14:paraId="1E1871C1">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公司帮助院方建立日常维护记录制度和系统管理规范；</w:t>
      </w:r>
    </w:p>
    <w:p w14:paraId="755682B0">
      <w:pPr>
        <w:keepNext w:val="0"/>
        <w:keepLines w:val="0"/>
        <w:pageBreakBefore w:val="0"/>
        <w:widowControl w:val="0"/>
        <w:numPr>
          <w:ilvl w:val="0"/>
          <w:numId w:val="8"/>
        </w:numPr>
        <w:kinsoku/>
        <w:wordWrap/>
        <w:overflowPunct/>
        <w:topLinePunct w:val="0"/>
        <w:autoSpaceDE/>
        <w:autoSpaceDN/>
        <w:bidi w:val="0"/>
        <w:adjustRightInd/>
        <w:snapToGrid/>
        <w:spacing w:line="360" w:lineRule="auto"/>
        <w:ind w:left="425" w:leftChars="0" w:hanging="425" w:firstLineChars="0"/>
        <w:textAlignment w:val="auto"/>
        <w:rPr>
          <w:rFonts w:hint="eastAsia" w:ascii="宋体" w:hAnsi="宋体" w:eastAsia="宋体" w:cs="宋体"/>
          <w:sz w:val="24"/>
          <w:szCs w:val="24"/>
          <w:lang w:val="zh-CN" w:eastAsia="zh-CN"/>
        </w:rPr>
      </w:pPr>
      <w:r>
        <w:rPr>
          <w:rFonts w:hint="eastAsia" w:ascii="宋体" w:hAnsi="宋体" w:eastAsia="宋体" w:cs="宋体"/>
          <w:sz w:val="24"/>
          <w:szCs w:val="24"/>
          <w:lang w:val="zh-CN" w:eastAsia="zh-CN"/>
        </w:rPr>
        <w:t>公司解答院方关于系统和数据库的疑难问题；并提供数据库操作的解决方案</w:t>
      </w:r>
      <w:r>
        <w:rPr>
          <w:rFonts w:hint="eastAsia" w:ascii="宋体" w:hAnsi="宋体" w:cs="宋体"/>
          <w:sz w:val="24"/>
          <w:szCs w:val="24"/>
          <w:lang w:val="zh-CN" w:eastAsia="zh-CN"/>
        </w:rPr>
        <w:t>。</w:t>
      </w:r>
    </w:p>
    <w:p w14:paraId="3400EBE5">
      <w:pPr>
        <w:pStyle w:val="2"/>
        <w:ind w:left="0" w:leftChars="0" w:firstLine="0" w:firstLineChars="0"/>
        <w:rPr>
          <w:rFonts w:hint="default"/>
          <w:lang w:val="en-US" w:eastAsia="zh-CN"/>
        </w:rPr>
      </w:pPr>
      <w:r>
        <w:rPr>
          <w:rFonts w:hint="eastAsia"/>
          <w:lang w:val="en-US" w:eastAsia="zh-CN"/>
        </w:rPr>
        <w:t>7）应急响应以甲方所要求的具体响应/到达现场时间为准。</w:t>
      </w:r>
    </w:p>
    <w:p w14:paraId="63E01B44">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45" w:beforeAutospacing="0" w:after="45" w:afterAutospacing="0" w:line="420" w:lineRule="atLeast"/>
        <w:ind w:right="0" w:rightChars="0"/>
        <w:rPr>
          <w:rFonts w:hint="eastAsia"/>
        </w:rPr>
      </w:pPr>
    </w:p>
    <w:p w14:paraId="7A945EB7">
      <w:pPr>
        <w:pStyle w:val="24"/>
      </w:pPr>
    </w:p>
    <w:p w14:paraId="7C48F831">
      <w:pPr>
        <w:pStyle w:val="9"/>
      </w:pPr>
    </w:p>
    <w:p w14:paraId="7E6A9379">
      <w:pPr>
        <w:pStyle w:val="10"/>
      </w:pPr>
    </w:p>
    <w:p w14:paraId="2D0F5089"/>
    <w:p w14:paraId="31755460">
      <w:pPr>
        <w:pStyle w:val="24"/>
      </w:pPr>
    </w:p>
    <w:p w14:paraId="4F60E185">
      <w:pPr>
        <w:pStyle w:val="9"/>
      </w:pPr>
    </w:p>
    <w:p w14:paraId="4AA2E736">
      <w:pPr>
        <w:pStyle w:val="10"/>
      </w:pPr>
    </w:p>
    <w:p w14:paraId="6DE47A2F"/>
    <w:p w14:paraId="77A7804C">
      <w:pPr>
        <w:pStyle w:val="24"/>
      </w:pPr>
    </w:p>
    <w:p w14:paraId="63427155">
      <w:pPr>
        <w:pStyle w:val="9"/>
      </w:pPr>
    </w:p>
    <w:p w14:paraId="4DB47741">
      <w:pPr>
        <w:pStyle w:val="10"/>
      </w:pPr>
    </w:p>
    <w:p w14:paraId="3F11AA4D"/>
    <w:p w14:paraId="3C3DDB5A">
      <w:pPr>
        <w:pStyle w:val="24"/>
      </w:pPr>
    </w:p>
    <w:p w14:paraId="3850F351">
      <w:pPr>
        <w:pStyle w:val="9"/>
      </w:pPr>
    </w:p>
    <w:p w14:paraId="38703827">
      <w:pPr>
        <w:pStyle w:val="10"/>
      </w:pPr>
    </w:p>
    <w:p w14:paraId="4AA8E844"/>
    <w:p w14:paraId="40CCE97C">
      <w:pPr>
        <w:pStyle w:val="24"/>
      </w:pPr>
    </w:p>
    <w:p w14:paraId="07A39B35">
      <w:pPr>
        <w:pStyle w:val="9"/>
      </w:pPr>
    </w:p>
    <w:p w14:paraId="48486CA7">
      <w:pPr>
        <w:pStyle w:val="10"/>
      </w:pPr>
    </w:p>
    <w:p w14:paraId="718D486B">
      <w:bookmarkStart w:id="12" w:name="_GoBack"/>
      <w:bookmarkEnd w:id="12"/>
    </w:p>
    <w:p w14:paraId="724C18D9">
      <w:pPr>
        <w:rPr>
          <w:rFonts w:ascii="仿宋" w:hAnsi="仿宋" w:eastAsia="仿宋" w:cs="宋体"/>
          <w:sz w:val="24"/>
        </w:rPr>
      </w:pPr>
      <w:r>
        <w:rPr>
          <w:rFonts w:hint="eastAsia" w:ascii="仿宋" w:hAnsi="仿宋" w:eastAsia="仿宋"/>
          <w:sz w:val="24"/>
        </w:rPr>
        <w:t xml:space="preserve">            </w:t>
      </w:r>
    </w:p>
    <w:p w14:paraId="7F821A20">
      <w:pPr>
        <w:pStyle w:val="16"/>
        <w:adjustRightInd w:val="0"/>
        <w:snapToGrid w:val="0"/>
        <w:spacing w:before="0" w:beforeAutospacing="0" w:after="0" w:afterAutospacing="0" w:line="360" w:lineRule="auto"/>
        <w:rPr>
          <w:rFonts w:hint="eastAsia" w:ascii="黑体" w:hAnsi="黑体" w:eastAsia="黑体"/>
          <w:sz w:val="28"/>
          <w:szCs w:val="28"/>
          <w:lang w:val="en-US" w:eastAsia="zh-CN"/>
        </w:rPr>
      </w:pPr>
      <w:r>
        <w:rPr>
          <w:rFonts w:hint="eastAsia" w:ascii="黑体" w:hAnsi="黑体" w:eastAsia="黑体"/>
          <w:sz w:val="28"/>
          <w:szCs w:val="28"/>
          <w:lang w:val="en-US" w:eastAsia="zh-CN"/>
        </w:rPr>
        <w:t>附件四：</w:t>
      </w:r>
    </w:p>
    <w:p w14:paraId="4F67B144">
      <w:pPr>
        <w:spacing w:after="500" w:line="240" w:lineRule="auto"/>
        <w:jc w:val="center"/>
        <w:outlineLvl w:val="0"/>
        <w:rPr>
          <w:rFonts w:hint="eastAsia" w:ascii="微软雅黑" w:hAnsi="微软雅黑" w:eastAsia="微软雅黑"/>
          <w:b/>
          <w:sz w:val="36"/>
          <w:szCs w:val="32"/>
        </w:rPr>
      </w:pPr>
      <w:r>
        <w:rPr>
          <w:rFonts w:hint="eastAsia" w:ascii="微软雅黑" w:hAnsi="微软雅黑" w:eastAsia="微软雅黑"/>
          <w:b/>
          <w:sz w:val="36"/>
          <w:szCs w:val="32"/>
          <w:lang w:val="en-US" w:eastAsia="zh-CN"/>
        </w:rPr>
        <w:t>信息条线第三方服务方保密</w:t>
      </w:r>
      <w:r>
        <w:rPr>
          <w:rFonts w:hint="eastAsia" w:ascii="微软雅黑" w:hAnsi="微软雅黑" w:eastAsia="微软雅黑"/>
          <w:b/>
          <w:sz w:val="36"/>
          <w:szCs w:val="32"/>
        </w:rPr>
        <w:t>协议</w:t>
      </w:r>
    </w:p>
    <w:p w14:paraId="5D758AF1">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lang w:val="en-US" w:eastAsia="zh-CN"/>
        </w:rPr>
        <w:t xml:space="preserve">签署并盖章（乙方）：                    运维系统：         </w:t>
      </w:r>
    </w:p>
    <w:p w14:paraId="2439F2A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从事医疗工作的运维人员</w:t>
      </w:r>
      <w:r>
        <w:rPr>
          <w:rFonts w:hint="eastAsia" w:ascii="微软雅黑" w:hAnsi="微软雅黑" w:eastAsia="微软雅黑"/>
          <w:sz w:val="27"/>
          <w:szCs w:val="24"/>
        </w:rPr>
        <w:t>需对甲方</w:t>
      </w:r>
      <w:r>
        <w:rPr>
          <w:rFonts w:hint="eastAsia" w:ascii="微软雅黑" w:hAnsi="微软雅黑" w:eastAsia="微软雅黑"/>
          <w:sz w:val="27"/>
          <w:szCs w:val="24"/>
          <w:lang w:val="en-US" w:eastAsia="zh-CN"/>
        </w:rPr>
        <w:t>单位</w:t>
      </w:r>
      <w:r>
        <w:rPr>
          <w:rFonts w:hint="eastAsia" w:ascii="微软雅黑" w:hAnsi="微软雅黑" w:eastAsia="微软雅黑"/>
          <w:sz w:val="27"/>
          <w:szCs w:val="24"/>
        </w:rPr>
        <w:t>的机密信息保密，并跟据国家和医院有关法规、规定，按照自愿、平等、协商一致的原则签订本保密协议。</w:t>
      </w:r>
    </w:p>
    <w:p w14:paraId="70BAC6F6">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一、甲方</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苏州市吴江区中医医院</w:t>
      </w:r>
      <w:r>
        <w:rPr>
          <w:rFonts w:hint="eastAsia" w:ascii="微软雅黑" w:hAnsi="微软雅黑" w:eastAsia="微软雅黑"/>
          <w:sz w:val="27"/>
          <w:szCs w:val="24"/>
          <w:lang w:eastAsia="zh-CN"/>
        </w:rPr>
        <w:t>）</w:t>
      </w:r>
      <w:r>
        <w:rPr>
          <w:rFonts w:hint="eastAsia" w:ascii="微软雅黑" w:hAnsi="微软雅黑" w:eastAsia="微软雅黑"/>
          <w:sz w:val="27"/>
          <w:szCs w:val="24"/>
        </w:rPr>
        <w:t>机密信息包括：</w:t>
      </w:r>
    </w:p>
    <w:p w14:paraId="68B93EEE">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甲方所有来诊病人基本信息、来院就诊信息；甲方病案资料；</w:t>
      </w:r>
    </w:p>
    <w:p w14:paraId="42DA9531">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甲方员工档案、各类系统账号；</w:t>
      </w:r>
    </w:p>
    <w:p w14:paraId="08D10A04">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甲方各类统计报表；</w:t>
      </w:r>
    </w:p>
    <w:p w14:paraId="2D37A4C2">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甲方各类会议记录、讨论记录；</w:t>
      </w:r>
    </w:p>
    <w:p w14:paraId="4C339082">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甲方各类管理技术信息及资料；</w:t>
      </w:r>
    </w:p>
    <w:p w14:paraId="6DD928A1">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信息科管理的甲方所有系统的管理员账号、密码，服务器、交换机、路由器等医院设备的用户名和密码口令。</w:t>
      </w:r>
    </w:p>
    <w:p w14:paraId="57749C75">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网络系统集成的文档包括：路由器、交换机和服务器参数、网络拓扑图、网络布线图、虚网划分、IP地址分配等网络机密资料。</w:t>
      </w:r>
    </w:p>
    <w:p w14:paraId="27AE0379">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随机赠送的服务器、网络通信设备携带的说明书、各种文字资料等网络系统的重要资料。</w:t>
      </w:r>
    </w:p>
    <w:p w14:paraId="28237214">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甲方有关网络建设与信息化建设的各种合同，上级部门的各种批文，网络管理和配备的各种规则、条例等文字材料。</w:t>
      </w:r>
    </w:p>
    <w:p w14:paraId="3EFBD445">
      <w:pPr>
        <w:numPr>
          <w:ilvl w:val="0"/>
          <w:numId w:val="9"/>
        </w:num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其他经甲方确定应当保密的事项。</w:t>
      </w:r>
    </w:p>
    <w:p w14:paraId="71A1F6F8">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二、乙方对医院机密信息的保密义务包括：</w:t>
      </w:r>
    </w:p>
    <w:p w14:paraId="6C87ECF1">
      <w:pPr>
        <w:spacing w:after="500" w:line="240" w:lineRule="auto"/>
        <w:ind w:firstLine="540" w:firstLineChars="200"/>
        <w:rPr>
          <w:rFonts w:hint="default" w:ascii="微软雅黑" w:hAnsi="微软雅黑" w:eastAsia="微软雅黑"/>
          <w:sz w:val="27"/>
          <w:szCs w:val="24"/>
          <w:lang w:val="en-US" w:eastAsia="zh-CN"/>
        </w:rPr>
      </w:pPr>
      <w:r>
        <w:rPr>
          <w:rFonts w:hint="eastAsia" w:ascii="微软雅黑" w:hAnsi="微软雅黑" w:eastAsia="微软雅黑"/>
          <w:sz w:val="27"/>
          <w:szCs w:val="24"/>
        </w:rPr>
        <w:t>1、不得以任何方式向医院内外无关人员（包括家庭成员）和通信中散布、泄漏医院机密或涉及医院机密</w:t>
      </w:r>
      <w:r>
        <w:rPr>
          <w:rFonts w:hint="eastAsia" w:ascii="微软雅黑" w:hAnsi="微软雅黑" w:eastAsia="微软雅黑"/>
          <w:sz w:val="27"/>
          <w:szCs w:val="24"/>
          <w:lang w:eastAsia="zh-CN"/>
        </w:rPr>
        <w:t>，</w:t>
      </w:r>
      <w:r>
        <w:rPr>
          <w:rFonts w:hint="eastAsia" w:ascii="微软雅黑" w:hAnsi="微软雅黑" w:eastAsia="微软雅黑"/>
          <w:sz w:val="27"/>
          <w:szCs w:val="24"/>
          <w:lang w:val="en-US" w:eastAsia="zh-CN"/>
        </w:rPr>
        <w:t>尤其是药品、耗材等数据，不得进行任何形式的统方行为。</w:t>
      </w:r>
    </w:p>
    <w:p w14:paraId="7561C1E2">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2、所有在工作中制作的数码、影像制片，均属于甲方所有。对于内容为秘密级以上的，禁止私自制作与复制。</w:t>
      </w:r>
    </w:p>
    <w:p w14:paraId="6DB04EC9">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rPr>
        <w:t>3、所有在甲方电脑、磁盘系统中创建、存贮和交流的信息，均属于甲方所有。禁止利用甲方系统电脑资源以甲方或个人名义发表虚假信息或泄露甲方机密。乙方需对采用电脑技术存取、处理、传递的甲方机密资料负保密责任。</w:t>
      </w:r>
    </w:p>
    <w:p w14:paraId="33144E2E">
      <w:pPr>
        <w:spacing w:after="500" w:line="240" w:lineRule="auto"/>
        <w:ind w:firstLine="540" w:firstLineChars="200"/>
        <w:rPr>
          <w:rFonts w:hint="eastAsia" w:ascii="微软雅黑" w:hAnsi="微软雅黑" w:eastAsia="微软雅黑"/>
          <w:sz w:val="27"/>
          <w:szCs w:val="24"/>
        </w:rPr>
      </w:pPr>
      <w:r>
        <w:rPr>
          <w:rFonts w:hint="eastAsia" w:ascii="微软雅黑" w:hAnsi="微软雅黑" w:eastAsia="微软雅黑"/>
          <w:sz w:val="27"/>
          <w:szCs w:val="24"/>
          <w:lang w:val="en-US" w:eastAsia="zh-CN"/>
        </w:rPr>
        <w:t>4、</w:t>
      </w:r>
      <w:r>
        <w:rPr>
          <w:rFonts w:hint="eastAsia" w:ascii="微软雅黑" w:hAnsi="微软雅黑" w:eastAsia="微软雅黑"/>
          <w:sz w:val="27"/>
          <w:szCs w:val="24"/>
        </w:rPr>
        <w:t>甲方对违反上述任何一项义务的乙方有权随时解除</w:t>
      </w:r>
      <w:r>
        <w:rPr>
          <w:rFonts w:hint="eastAsia" w:ascii="微软雅黑" w:hAnsi="微软雅黑" w:eastAsia="微软雅黑"/>
          <w:sz w:val="27"/>
          <w:szCs w:val="24"/>
          <w:lang w:val="en-US" w:eastAsia="zh-CN"/>
        </w:rPr>
        <w:t>运维服务</w:t>
      </w:r>
      <w:r>
        <w:rPr>
          <w:rFonts w:hint="eastAsia" w:ascii="微软雅黑" w:hAnsi="微软雅黑" w:eastAsia="微软雅黑"/>
          <w:sz w:val="27"/>
          <w:szCs w:val="24"/>
        </w:rPr>
        <w:t>关系，并保留将侵犯甲方上述秘密情节严重、构成犯罪的乙方移交司法机关追究刑事责任的权利。</w:t>
      </w:r>
    </w:p>
    <w:p w14:paraId="5F117A82">
      <w:pPr>
        <w:spacing w:after="500" w:line="240" w:lineRule="auto"/>
        <w:ind w:firstLine="540" w:firstLineChars="200"/>
        <w:rPr>
          <w:rFonts w:hint="eastAsia" w:ascii="微软雅黑" w:hAnsi="微软雅黑" w:eastAsia="微软雅黑"/>
          <w:sz w:val="27"/>
          <w:szCs w:val="24"/>
        </w:rPr>
      </w:pPr>
    </w:p>
    <w:p w14:paraId="5CB27352">
      <w:pPr>
        <w:spacing w:after="500" w:line="240" w:lineRule="auto"/>
        <w:ind w:firstLine="540" w:firstLineChars="200"/>
        <w:rPr>
          <w:rFonts w:hint="eastAsia" w:ascii="微软雅黑" w:hAnsi="微软雅黑" w:eastAsia="微软雅黑"/>
          <w:sz w:val="27"/>
          <w:szCs w:val="24"/>
        </w:rPr>
      </w:pPr>
    </w:p>
    <w:p w14:paraId="11F11124">
      <w:pPr>
        <w:spacing w:after="500" w:line="240" w:lineRule="auto"/>
        <w:ind w:firstLine="540" w:firstLineChars="200"/>
        <w:rPr>
          <w:rFonts w:hint="eastAsia" w:ascii="微软雅黑" w:hAnsi="微软雅黑" w:eastAsia="微软雅黑"/>
          <w:sz w:val="27"/>
          <w:szCs w:val="24"/>
        </w:rPr>
      </w:pPr>
    </w:p>
    <w:p w14:paraId="7DFCFCCA">
      <w:pPr>
        <w:spacing w:after="500" w:line="240" w:lineRule="auto"/>
        <w:ind w:firstLine="540" w:firstLineChars="200"/>
        <w:rPr>
          <w:rFonts w:hint="eastAsia" w:ascii="微软雅黑" w:hAnsi="微软雅黑" w:eastAsia="微软雅黑"/>
          <w:sz w:val="27"/>
          <w:szCs w:val="24"/>
        </w:rPr>
      </w:pPr>
    </w:p>
    <w:p w14:paraId="255C2AB0">
      <w:pPr>
        <w:spacing w:after="500" w:line="240" w:lineRule="auto"/>
        <w:ind w:firstLine="540" w:firstLineChars="200"/>
        <w:rPr>
          <w:rFonts w:hint="eastAsia" w:ascii="微软雅黑" w:hAnsi="微软雅黑" w:eastAsia="微软雅黑"/>
          <w:sz w:val="27"/>
          <w:szCs w:val="24"/>
        </w:rPr>
      </w:pPr>
    </w:p>
    <w:p w14:paraId="514AB23E">
      <w:pPr>
        <w:spacing w:after="500" w:line="240" w:lineRule="auto"/>
        <w:ind w:firstLine="540" w:firstLineChars="200"/>
        <w:rPr>
          <w:rFonts w:hint="eastAsia" w:ascii="微软雅黑" w:hAnsi="微软雅黑" w:eastAsia="微软雅黑"/>
          <w:sz w:val="27"/>
          <w:szCs w:val="24"/>
        </w:rPr>
      </w:pPr>
    </w:p>
    <w:p w14:paraId="21F5FC07">
      <w:pPr>
        <w:spacing w:after="500" w:line="240" w:lineRule="auto"/>
        <w:ind w:firstLine="540" w:firstLineChars="200"/>
        <w:rPr>
          <w:rFonts w:hint="eastAsia" w:ascii="微软雅黑" w:hAnsi="微软雅黑" w:eastAsia="微软雅黑"/>
          <w:sz w:val="27"/>
          <w:szCs w:val="24"/>
        </w:rPr>
      </w:pPr>
    </w:p>
    <w:p w14:paraId="2C04E4E7">
      <w:pPr>
        <w:spacing w:after="500" w:line="240" w:lineRule="auto"/>
        <w:ind w:firstLine="540" w:firstLineChars="200"/>
        <w:rPr>
          <w:rFonts w:hint="eastAsia" w:ascii="微软雅黑" w:hAnsi="微软雅黑" w:eastAsia="微软雅黑"/>
          <w:sz w:val="27"/>
          <w:szCs w:val="24"/>
        </w:rPr>
      </w:pPr>
    </w:p>
    <w:p w14:paraId="3AD0036B">
      <w:pPr>
        <w:spacing w:after="500" w:line="240" w:lineRule="auto"/>
        <w:rPr>
          <w:rFonts w:hint="eastAsia" w:ascii="微软雅黑" w:hAnsi="微软雅黑" w:eastAsia="微软雅黑"/>
          <w:sz w:val="27"/>
          <w:szCs w:val="24"/>
        </w:rPr>
      </w:pPr>
    </w:p>
    <w:p w14:paraId="7FBCFB56">
      <w:pPr>
        <w:spacing w:after="500" w:line="240" w:lineRule="auto"/>
        <w:ind w:firstLine="560" w:firstLineChars="200"/>
        <w:rPr>
          <w:rFonts w:hint="eastAsia" w:ascii="黑体" w:hAnsi="黑体" w:eastAsia="黑体"/>
          <w:sz w:val="28"/>
          <w:szCs w:val="28"/>
          <w:lang w:val="en-US" w:eastAsia="zh-CN"/>
        </w:rPr>
      </w:pPr>
      <w:r>
        <w:rPr>
          <w:rFonts w:hint="eastAsia" w:ascii="黑体" w:hAnsi="黑体" w:eastAsia="黑体"/>
          <w:sz w:val="28"/>
          <w:szCs w:val="28"/>
          <w:lang w:val="en-US" w:eastAsia="zh-CN"/>
        </w:rPr>
        <w:t>附件五：</w:t>
      </w:r>
    </w:p>
    <w:tbl>
      <w:tblPr>
        <w:tblStyle w:val="18"/>
        <w:tblW w:w="8237" w:type="dxa"/>
        <w:tblInd w:w="93" w:type="dxa"/>
        <w:tblLayout w:type="autofit"/>
        <w:tblCellMar>
          <w:top w:w="0" w:type="dxa"/>
          <w:left w:w="108" w:type="dxa"/>
          <w:bottom w:w="0" w:type="dxa"/>
          <w:right w:w="108" w:type="dxa"/>
        </w:tblCellMar>
      </w:tblPr>
      <w:tblGrid>
        <w:gridCol w:w="1433"/>
        <w:gridCol w:w="1559"/>
        <w:gridCol w:w="991"/>
        <w:gridCol w:w="568"/>
        <w:gridCol w:w="3686"/>
      </w:tblGrid>
      <w:tr w14:paraId="6285F4C1">
        <w:tblPrEx>
          <w:tblCellMar>
            <w:top w:w="0" w:type="dxa"/>
            <w:left w:w="108" w:type="dxa"/>
            <w:bottom w:w="0" w:type="dxa"/>
            <w:right w:w="108" w:type="dxa"/>
          </w:tblCellMar>
        </w:tblPrEx>
        <w:trPr>
          <w:trHeight w:val="510" w:hRule="atLeast"/>
        </w:trPr>
        <w:tc>
          <w:tcPr>
            <w:tcW w:w="8237" w:type="dxa"/>
            <w:gridSpan w:val="5"/>
            <w:vAlign w:val="center"/>
          </w:tcPr>
          <w:p w14:paraId="5FC860FD">
            <w:pPr>
              <w:widowControl/>
              <w:jc w:val="center"/>
              <w:rPr>
                <w:rFonts w:hint="eastAsia" w:ascii="宋体" w:hAnsi="宋体" w:cs="宋体"/>
                <w:b/>
                <w:bCs/>
                <w:kern w:val="0"/>
                <w:szCs w:val="21"/>
              </w:rPr>
            </w:pPr>
            <w:r>
              <w:rPr>
                <w:rFonts w:hint="eastAsia" w:ascii="宋体" w:hAnsi="宋体" w:cs="宋体"/>
                <w:b/>
                <w:bCs/>
                <w:kern w:val="0"/>
                <w:szCs w:val="21"/>
              </w:rPr>
              <w:t>供应商服务考核评价打分汇总表</w:t>
            </w:r>
          </w:p>
        </w:tc>
      </w:tr>
      <w:tr w14:paraId="462F3307">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24621AF">
            <w:pPr>
              <w:widowControl/>
              <w:jc w:val="left"/>
              <w:rPr>
                <w:rFonts w:hint="eastAsia" w:ascii="宋体" w:hAnsi="宋体" w:cs="宋体"/>
                <w:kern w:val="0"/>
                <w:szCs w:val="21"/>
              </w:rPr>
            </w:pPr>
            <w:r>
              <w:rPr>
                <w:rFonts w:hint="eastAsia" w:ascii="宋体" w:hAnsi="宋体" w:cs="宋体"/>
                <w:kern w:val="0"/>
                <w:szCs w:val="21"/>
              </w:rPr>
              <w:t>供应商名称：</w:t>
            </w:r>
          </w:p>
        </w:tc>
        <w:tc>
          <w:tcPr>
            <w:tcW w:w="3686" w:type="dxa"/>
            <w:tcBorders>
              <w:top w:val="single" w:color="auto" w:sz="4" w:space="0"/>
              <w:left w:val="nil"/>
              <w:bottom w:val="single" w:color="auto" w:sz="4" w:space="0"/>
              <w:right w:val="single" w:color="000000" w:sz="4" w:space="0"/>
            </w:tcBorders>
            <w:vAlign w:val="center"/>
          </w:tcPr>
          <w:p w14:paraId="61FBEEB7">
            <w:pPr>
              <w:widowControl/>
              <w:jc w:val="left"/>
              <w:rPr>
                <w:rFonts w:hint="eastAsia" w:ascii="宋体" w:hAnsi="宋体" w:cs="宋体"/>
                <w:kern w:val="0"/>
                <w:szCs w:val="21"/>
              </w:rPr>
            </w:pPr>
            <w:r>
              <w:rPr>
                <w:rFonts w:hint="eastAsia" w:ascii="宋体" w:hAnsi="宋体" w:cs="宋体"/>
                <w:kern w:val="0"/>
                <w:szCs w:val="21"/>
              </w:rPr>
              <w:t>考核年度：</w:t>
            </w:r>
          </w:p>
        </w:tc>
      </w:tr>
      <w:tr w14:paraId="475DD2A1">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65C1D0E6">
            <w:pPr>
              <w:widowControl/>
              <w:jc w:val="left"/>
              <w:rPr>
                <w:rFonts w:hint="eastAsia" w:ascii="宋体" w:hAnsi="宋体" w:cs="宋体"/>
                <w:kern w:val="0"/>
                <w:szCs w:val="21"/>
              </w:rPr>
            </w:pPr>
            <w:r>
              <w:rPr>
                <w:rFonts w:hint="eastAsia" w:ascii="宋体" w:hAnsi="宋体" w:cs="宋体"/>
                <w:kern w:val="0"/>
                <w:szCs w:val="21"/>
              </w:rPr>
              <w:t>项目名称：</w:t>
            </w:r>
          </w:p>
        </w:tc>
        <w:tc>
          <w:tcPr>
            <w:tcW w:w="3686" w:type="dxa"/>
            <w:tcBorders>
              <w:top w:val="single" w:color="auto" w:sz="4" w:space="0"/>
              <w:left w:val="nil"/>
              <w:bottom w:val="single" w:color="auto" w:sz="4" w:space="0"/>
              <w:right w:val="single" w:color="000000" w:sz="4" w:space="0"/>
            </w:tcBorders>
            <w:vAlign w:val="center"/>
          </w:tcPr>
          <w:p w14:paraId="085A85AB">
            <w:pPr>
              <w:widowControl/>
              <w:jc w:val="left"/>
              <w:rPr>
                <w:rFonts w:hint="eastAsia" w:ascii="宋体" w:hAnsi="宋体" w:cs="宋体"/>
                <w:kern w:val="0"/>
                <w:szCs w:val="21"/>
              </w:rPr>
            </w:pPr>
            <w:r>
              <w:rPr>
                <w:rFonts w:hint="eastAsia" w:ascii="宋体" w:hAnsi="宋体" w:cs="宋体"/>
                <w:kern w:val="0"/>
                <w:szCs w:val="21"/>
              </w:rPr>
              <w:t>项目实施进度：</w:t>
            </w:r>
          </w:p>
        </w:tc>
      </w:tr>
      <w:tr w14:paraId="2DAEF6C2">
        <w:tblPrEx>
          <w:tblCellMar>
            <w:top w:w="0" w:type="dxa"/>
            <w:left w:w="108" w:type="dxa"/>
            <w:bottom w:w="0" w:type="dxa"/>
            <w:right w:w="108" w:type="dxa"/>
          </w:tblCellMar>
        </w:tblPrEx>
        <w:trPr>
          <w:trHeight w:val="285" w:hRule="atLeast"/>
        </w:trPr>
        <w:tc>
          <w:tcPr>
            <w:tcW w:w="4551" w:type="dxa"/>
            <w:gridSpan w:val="4"/>
            <w:tcBorders>
              <w:top w:val="single" w:color="auto" w:sz="4" w:space="0"/>
              <w:left w:val="single" w:color="auto" w:sz="4" w:space="0"/>
              <w:bottom w:val="single" w:color="auto" w:sz="4" w:space="0"/>
              <w:right w:val="single" w:color="auto" w:sz="4" w:space="0"/>
            </w:tcBorders>
            <w:vAlign w:val="center"/>
          </w:tcPr>
          <w:p w14:paraId="5F85A626">
            <w:pPr>
              <w:widowControl/>
              <w:jc w:val="left"/>
              <w:rPr>
                <w:rFonts w:hint="eastAsia" w:ascii="宋体" w:hAnsi="宋体" w:cs="宋体"/>
                <w:kern w:val="0"/>
                <w:szCs w:val="21"/>
              </w:rPr>
            </w:pPr>
            <w:r>
              <w:rPr>
                <w:rFonts w:hint="eastAsia" w:ascii="宋体" w:hAnsi="宋体" w:cs="宋体"/>
                <w:kern w:val="0"/>
                <w:szCs w:val="21"/>
              </w:rPr>
              <w:t>甲方项目负责责任人：</w:t>
            </w:r>
          </w:p>
        </w:tc>
        <w:tc>
          <w:tcPr>
            <w:tcW w:w="3686" w:type="dxa"/>
            <w:tcBorders>
              <w:top w:val="single" w:color="auto" w:sz="4" w:space="0"/>
              <w:left w:val="nil"/>
              <w:bottom w:val="single" w:color="auto" w:sz="4" w:space="0"/>
              <w:right w:val="single" w:color="000000" w:sz="4" w:space="0"/>
            </w:tcBorders>
            <w:vAlign w:val="center"/>
          </w:tcPr>
          <w:p w14:paraId="238C2CF1">
            <w:pPr>
              <w:widowControl/>
              <w:jc w:val="left"/>
              <w:rPr>
                <w:rFonts w:hint="eastAsia" w:ascii="宋体" w:hAnsi="宋体" w:cs="宋体"/>
                <w:kern w:val="0"/>
                <w:szCs w:val="21"/>
              </w:rPr>
            </w:pPr>
            <w:r>
              <w:rPr>
                <w:rFonts w:hint="eastAsia" w:ascii="宋体" w:hAnsi="宋体" w:cs="宋体"/>
                <w:kern w:val="0"/>
                <w:szCs w:val="21"/>
              </w:rPr>
              <w:t>联系方式：</w:t>
            </w:r>
          </w:p>
        </w:tc>
      </w:tr>
      <w:tr w14:paraId="55FE246B">
        <w:tblPrEx>
          <w:tblCellMar>
            <w:top w:w="0" w:type="dxa"/>
            <w:left w:w="108" w:type="dxa"/>
            <w:bottom w:w="0" w:type="dxa"/>
            <w:right w:w="108" w:type="dxa"/>
          </w:tblCellMar>
        </w:tblPrEx>
        <w:trPr>
          <w:trHeight w:val="1427" w:hRule="atLeast"/>
        </w:trPr>
        <w:tc>
          <w:tcPr>
            <w:tcW w:w="1433" w:type="dxa"/>
            <w:vMerge w:val="restart"/>
            <w:tcBorders>
              <w:top w:val="nil"/>
              <w:left w:val="single" w:color="auto" w:sz="4" w:space="0"/>
              <w:bottom w:val="single" w:color="auto" w:sz="4" w:space="0"/>
              <w:right w:val="single" w:color="auto" w:sz="4" w:space="0"/>
            </w:tcBorders>
            <w:vAlign w:val="center"/>
          </w:tcPr>
          <w:p w14:paraId="5E84719F">
            <w:pPr>
              <w:widowControl/>
              <w:jc w:val="center"/>
              <w:rPr>
                <w:rFonts w:hint="eastAsia" w:ascii="宋体" w:hAnsi="宋体" w:cs="宋体"/>
                <w:kern w:val="0"/>
                <w:szCs w:val="21"/>
              </w:rPr>
            </w:pPr>
            <w:r>
              <w:rPr>
                <w:rFonts w:hint="eastAsia" w:ascii="宋体" w:hAnsi="宋体" w:cs="宋体"/>
                <w:kern w:val="0"/>
                <w:szCs w:val="21"/>
              </w:rPr>
              <w:t>年度供应商服务考核评价结果</w:t>
            </w:r>
          </w:p>
        </w:tc>
        <w:tc>
          <w:tcPr>
            <w:tcW w:w="3118" w:type="dxa"/>
            <w:gridSpan w:val="3"/>
            <w:tcBorders>
              <w:top w:val="nil"/>
              <w:left w:val="nil"/>
              <w:bottom w:val="single" w:color="auto" w:sz="4" w:space="0"/>
              <w:right w:val="single" w:color="auto" w:sz="4" w:space="0"/>
            </w:tcBorders>
            <w:vAlign w:val="center"/>
          </w:tcPr>
          <w:p w14:paraId="2825DA17">
            <w:pPr>
              <w:widowControl/>
              <w:jc w:val="center"/>
              <w:rPr>
                <w:rFonts w:hint="eastAsia" w:ascii="宋体" w:hAnsi="宋体" w:cs="宋体"/>
                <w:kern w:val="0"/>
                <w:szCs w:val="21"/>
              </w:rPr>
            </w:pPr>
            <w:r>
              <w:rPr>
                <w:rFonts w:hint="eastAsia" w:ascii="宋体" w:hAnsi="宋体" w:cs="宋体"/>
                <w:kern w:val="0"/>
                <w:szCs w:val="21"/>
              </w:rPr>
              <w:t>不满意</w:t>
            </w:r>
          </w:p>
          <w:p w14:paraId="3296C29C">
            <w:pPr>
              <w:widowControl/>
              <w:jc w:val="center"/>
              <w:rPr>
                <w:rFonts w:hint="eastAsia" w:ascii="宋体" w:hAnsi="宋体" w:cs="宋体"/>
                <w:kern w:val="0"/>
                <w:szCs w:val="21"/>
              </w:rPr>
            </w:pPr>
            <w:r>
              <w:rPr>
                <w:rFonts w:hint="eastAsia" w:ascii="宋体" w:hAnsi="宋体" w:cs="宋体"/>
                <w:kern w:val="0"/>
                <w:szCs w:val="21"/>
              </w:rPr>
              <w:t>80-90分</w:t>
            </w:r>
          </w:p>
        </w:tc>
        <w:tc>
          <w:tcPr>
            <w:tcW w:w="3686" w:type="dxa"/>
            <w:tcBorders>
              <w:top w:val="nil"/>
              <w:left w:val="nil"/>
              <w:bottom w:val="single" w:color="auto" w:sz="4" w:space="0"/>
              <w:right w:val="single" w:color="auto" w:sz="4" w:space="0"/>
            </w:tcBorders>
            <w:vAlign w:val="center"/>
          </w:tcPr>
          <w:p w14:paraId="03A87283">
            <w:pPr>
              <w:widowControl/>
              <w:jc w:val="center"/>
              <w:rPr>
                <w:rFonts w:hint="eastAsia" w:ascii="宋体" w:hAnsi="宋体" w:cs="宋体"/>
                <w:kern w:val="0"/>
                <w:szCs w:val="21"/>
              </w:rPr>
            </w:pPr>
            <w:r>
              <w:rPr>
                <w:rFonts w:hint="eastAsia" w:ascii="宋体" w:hAnsi="宋体" w:cs="宋体"/>
                <w:kern w:val="0"/>
                <w:szCs w:val="21"/>
              </w:rPr>
              <w:t>满意</w:t>
            </w:r>
          </w:p>
          <w:p w14:paraId="3F1E4F65">
            <w:pPr>
              <w:widowControl/>
              <w:jc w:val="center"/>
              <w:rPr>
                <w:rFonts w:hint="eastAsia" w:ascii="宋体" w:hAnsi="宋体" w:cs="宋体"/>
                <w:kern w:val="0"/>
                <w:szCs w:val="21"/>
              </w:rPr>
            </w:pPr>
            <w:r>
              <w:rPr>
                <w:rFonts w:hint="eastAsia" w:ascii="宋体" w:hAnsi="宋体" w:cs="宋体"/>
                <w:kern w:val="0"/>
                <w:szCs w:val="21"/>
              </w:rPr>
              <w:t>90-100分</w:t>
            </w:r>
          </w:p>
        </w:tc>
      </w:tr>
      <w:tr w14:paraId="4C3D80D4">
        <w:tblPrEx>
          <w:tblCellMar>
            <w:top w:w="0" w:type="dxa"/>
            <w:left w:w="108" w:type="dxa"/>
            <w:bottom w:w="0" w:type="dxa"/>
            <w:right w:w="108" w:type="dxa"/>
          </w:tblCellMar>
        </w:tblPrEx>
        <w:trPr>
          <w:trHeight w:val="1514" w:hRule="atLeast"/>
        </w:trPr>
        <w:tc>
          <w:tcPr>
            <w:tcW w:w="1433" w:type="dxa"/>
            <w:vMerge w:val="continue"/>
            <w:tcBorders>
              <w:top w:val="nil"/>
              <w:left w:val="single" w:color="auto" w:sz="4" w:space="0"/>
              <w:bottom w:val="single" w:color="auto" w:sz="4" w:space="0"/>
              <w:right w:val="single" w:color="auto" w:sz="4" w:space="0"/>
            </w:tcBorders>
            <w:vAlign w:val="center"/>
          </w:tcPr>
          <w:p w14:paraId="28500949">
            <w:pPr>
              <w:rPr>
                <w:rFonts w:hint="eastAsia" w:ascii="宋体" w:hAnsi="宋体" w:cs="宋体"/>
                <w:szCs w:val="21"/>
              </w:rPr>
            </w:pPr>
          </w:p>
        </w:tc>
        <w:tc>
          <w:tcPr>
            <w:tcW w:w="3118" w:type="dxa"/>
            <w:gridSpan w:val="3"/>
            <w:tcBorders>
              <w:top w:val="single" w:color="auto" w:sz="4" w:space="0"/>
              <w:left w:val="nil"/>
              <w:bottom w:val="single" w:color="auto" w:sz="4" w:space="0"/>
              <w:right w:val="single" w:color="auto" w:sz="4" w:space="0"/>
            </w:tcBorders>
            <w:vAlign w:val="center"/>
          </w:tcPr>
          <w:p w14:paraId="1C4C2066">
            <w:pPr>
              <w:widowControl/>
              <w:jc w:val="center"/>
              <w:rPr>
                <w:rFonts w:hint="eastAsia" w:ascii="宋体" w:hAnsi="宋体" w:cs="宋体"/>
                <w:kern w:val="0"/>
                <w:szCs w:val="21"/>
              </w:rPr>
            </w:pPr>
          </w:p>
        </w:tc>
        <w:tc>
          <w:tcPr>
            <w:tcW w:w="3686" w:type="dxa"/>
            <w:tcBorders>
              <w:top w:val="single" w:color="auto" w:sz="4" w:space="0"/>
              <w:left w:val="nil"/>
              <w:bottom w:val="single" w:color="auto" w:sz="4" w:space="0"/>
              <w:right w:val="single" w:color="auto" w:sz="4" w:space="0"/>
            </w:tcBorders>
            <w:vAlign w:val="center"/>
          </w:tcPr>
          <w:p w14:paraId="3C35B5CF">
            <w:pPr>
              <w:widowControl/>
              <w:jc w:val="center"/>
              <w:rPr>
                <w:rFonts w:hint="eastAsia" w:ascii="宋体" w:hAnsi="宋体" w:cs="宋体"/>
                <w:kern w:val="0"/>
                <w:szCs w:val="21"/>
              </w:rPr>
            </w:pPr>
          </w:p>
        </w:tc>
      </w:tr>
      <w:tr w14:paraId="39B9CF01">
        <w:tblPrEx>
          <w:tblCellMar>
            <w:top w:w="0" w:type="dxa"/>
            <w:left w:w="108" w:type="dxa"/>
            <w:bottom w:w="0" w:type="dxa"/>
            <w:right w:w="108" w:type="dxa"/>
          </w:tblCellMar>
        </w:tblPrEx>
        <w:trPr>
          <w:trHeight w:val="285" w:hRule="atLeast"/>
        </w:trPr>
        <w:tc>
          <w:tcPr>
            <w:tcW w:w="1433" w:type="dxa"/>
            <w:tcBorders>
              <w:top w:val="single" w:color="auto" w:sz="4" w:space="0"/>
              <w:left w:val="single" w:color="auto" w:sz="4" w:space="0"/>
              <w:bottom w:val="single" w:color="auto" w:sz="4" w:space="0"/>
              <w:right w:val="single" w:color="auto" w:sz="4" w:space="0"/>
            </w:tcBorders>
            <w:shd w:val="clear" w:color="auto" w:fill="FFFFFF"/>
            <w:vAlign w:val="center"/>
          </w:tcPr>
          <w:p w14:paraId="4F5F1496">
            <w:pPr>
              <w:jc w:val="center"/>
              <w:rPr>
                <w:rFonts w:hint="eastAsia" w:ascii="宋体" w:hAnsi="宋体" w:cs="宋体"/>
                <w:szCs w:val="21"/>
              </w:rPr>
            </w:pPr>
            <w:r>
              <w:rPr>
                <w:rFonts w:hint="eastAsia" w:ascii="宋体" w:hAnsi="宋体" w:cs="宋体"/>
                <w:szCs w:val="21"/>
              </w:rPr>
              <w:t>奖惩措施</w:t>
            </w:r>
          </w:p>
        </w:tc>
        <w:tc>
          <w:tcPr>
            <w:tcW w:w="1559" w:type="dxa"/>
            <w:tcBorders>
              <w:top w:val="single" w:color="auto" w:sz="4" w:space="0"/>
              <w:left w:val="nil"/>
              <w:bottom w:val="single" w:color="auto" w:sz="4" w:space="0"/>
              <w:right w:val="single" w:color="auto" w:sz="4" w:space="0"/>
            </w:tcBorders>
            <w:vAlign w:val="center"/>
          </w:tcPr>
          <w:p w14:paraId="2EAEFA12">
            <w:pPr>
              <w:widowControl/>
              <w:jc w:val="center"/>
              <w:rPr>
                <w:rFonts w:hint="eastAsia" w:ascii="宋体" w:hAnsi="宋体" w:cs="宋体"/>
                <w:kern w:val="0"/>
                <w:szCs w:val="21"/>
              </w:rPr>
            </w:pPr>
            <w:r>
              <w:rPr>
                <w:rFonts w:hint="eastAsia" w:ascii="宋体" w:hAnsi="宋体" w:cs="宋体"/>
                <w:kern w:val="0"/>
                <w:szCs w:val="21"/>
              </w:rPr>
              <w:t>考核在80-90分，甲方按照合同总金额1%的扣除</w:t>
            </w:r>
          </w:p>
        </w:tc>
        <w:tc>
          <w:tcPr>
            <w:tcW w:w="1559" w:type="dxa"/>
            <w:gridSpan w:val="2"/>
            <w:tcBorders>
              <w:top w:val="single" w:color="auto" w:sz="4" w:space="0"/>
              <w:left w:val="nil"/>
              <w:bottom w:val="single" w:color="auto" w:sz="4" w:space="0"/>
              <w:right w:val="single" w:color="auto" w:sz="4" w:space="0"/>
            </w:tcBorders>
            <w:vAlign w:val="center"/>
          </w:tcPr>
          <w:p w14:paraId="186F6CF9">
            <w:pPr>
              <w:widowControl/>
              <w:jc w:val="center"/>
              <w:rPr>
                <w:rFonts w:hint="eastAsia" w:ascii="宋体" w:hAnsi="宋体" w:cs="宋体"/>
                <w:kern w:val="0"/>
                <w:szCs w:val="21"/>
              </w:rPr>
            </w:pPr>
            <w:r>
              <w:rPr>
                <w:rFonts w:hint="eastAsia" w:ascii="宋体" w:hAnsi="宋体" w:cs="宋体"/>
                <w:kern w:val="0"/>
                <w:szCs w:val="21"/>
              </w:rPr>
              <w:t>低于80分甲方有权解除合同，损失由乙方承担。</w:t>
            </w:r>
          </w:p>
        </w:tc>
        <w:tc>
          <w:tcPr>
            <w:tcW w:w="3686" w:type="dxa"/>
            <w:tcBorders>
              <w:top w:val="single" w:color="auto" w:sz="4" w:space="0"/>
              <w:left w:val="nil"/>
              <w:bottom w:val="single" w:color="auto" w:sz="4" w:space="0"/>
              <w:right w:val="single" w:color="auto" w:sz="4" w:space="0"/>
            </w:tcBorders>
            <w:vAlign w:val="center"/>
          </w:tcPr>
          <w:p w14:paraId="770908D0">
            <w:pPr>
              <w:widowControl/>
              <w:jc w:val="left"/>
              <w:rPr>
                <w:rFonts w:hint="eastAsia" w:ascii="宋体" w:hAnsi="宋体" w:cs="宋体"/>
                <w:kern w:val="0"/>
                <w:szCs w:val="21"/>
              </w:rPr>
            </w:pPr>
            <w:r>
              <w:rPr>
                <w:rFonts w:hint="eastAsia" w:ascii="宋体" w:hAnsi="宋体" w:cs="宋体"/>
                <w:kern w:val="0"/>
                <w:szCs w:val="21"/>
              </w:rPr>
              <w:t>考核在90-100分，甲方按照合同支付项目全款。</w:t>
            </w:r>
          </w:p>
        </w:tc>
      </w:tr>
      <w:tr w14:paraId="513E37F4">
        <w:tblPrEx>
          <w:tblCellMar>
            <w:top w:w="0" w:type="dxa"/>
            <w:left w:w="108" w:type="dxa"/>
            <w:bottom w:w="0" w:type="dxa"/>
            <w:right w:w="108" w:type="dxa"/>
          </w:tblCellMar>
        </w:tblPrEx>
        <w:trPr>
          <w:trHeight w:val="1093" w:hRule="atLeast"/>
        </w:trPr>
        <w:tc>
          <w:tcPr>
            <w:tcW w:w="8237" w:type="dxa"/>
            <w:gridSpan w:val="5"/>
            <w:tcBorders>
              <w:top w:val="single" w:color="auto" w:sz="4" w:space="0"/>
              <w:left w:val="single" w:color="auto" w:sz="4" w:space="0"/>
              <w:bottom w:val="single" w:color="auto" w:sz="4" w:space="0"/>
              <w:right w:val="single" w:color="000000" w:sz="4" w:space="0"/>
            </w:tcBorders>
          </w:tcPr>
          <w:p w14:paraId="05B1411E">
            <w:pPr>
              <w:widowControl/>
              <w:jc w:val="left"/>
              <w:rPr>
                <w:rFonts w:hint="eastAsia" w:ascii="宋体" w:hAnsi="宋体" w:cs="宋体"/>
                <w:color w:val="000000"/>
                <w:kern w:val="0"/>
                <w:szCs w:val="21"/>
              </w:rPr>
            </w:pPr>
            <w:r>
              <w:rPr>
                <w:rFonts w:hint="eastAsia" w:ascii="宋体" w:hAnsi="宋体" w:cs="宋体"/>
                <w:color w:val="000000"/>
                <w:kern w:val="0"/>
                <w:szCs w:val="21"/>
              </w:rPr>
              <w:t>意见：</w:t>
            </w:r>
          </w:p>
          <w:p w14:paraId="32F9F3F8">
            <w:pPr>
              <w:widowControl/>
              <w:jc w:val="left"/>
              <w:rPr>
                <w:rFonts w:hint="eastAsia" w:ascii="宋体" w:hAnsi="宋体" w:cs="宋体"/>
                <w:color w:val="000000"/>
                <w:kern w:val="0"/>
                <w:szCs w:val="21"/>
              </w:rPr>
            </w:pPr>
          </w:p>
          <w:p w14:paraId="56B11453">
            <w:pPr>
              <w:widowControl/>
              <w:jc w:val="left"/>
              <w:rPr>
                <w:rFonts w:hint="eastAsia" w:ascii="宋体" w:hAnsi="宋体" w:cs="宋体"/>
                <w:color w:val="000000"/>
                <w:kern w:val="0"/>
                <w:szCs w:val="21"/>
              </w:rPr>
            </w:pPr>
          </w:p>
          <w:p w14:paraId="14D70076">
            <w:pPr>
              <w:widowControl/>
              <w:jc w:val="left"/>
              <w:rPr>
                <w:rFonts w:hint="eastAsia" w:ascii="宋体" w:hAnsi="宋体" w:cs="宋体"/>
                <w:color w:val="000000"/>
                <w:kern w:val="0"/>
                <w:szCs w:val="21"/>
              </w:rPr>
            </w:pPr>
          </w:p>
          <w:p w14:paraId="7AF446F5">
            <w:pPr>
              <w:widowControl/>
              <w:jc w:val="left"/>
              <w:rPr>
                <w:rFonts w:hint="eastAsia" w:ascii="宋体" w:hAnsi="宋体" w:cs="宋体"/>
                <w:color w:val="000000"/>
                <w:kern w:val="0"/>
                <w:szCs w:val="21"/>
              </w:rPr>
            </w:pPr>
          </w:p>
          <w:p w14:paraId="476186D3">
            <w:pPr>
              <w:widowControl/>
              <w:jc w:val="left"/>
              <w:rPr>
                <w:rFonts w:hint="eastAsia" w:ascii="宋体" w:hAnsi="宋体" w:cs="宋体"/>
                <w:color w:val="000000"/>
                <w:kern w:val="0"/>
                <w:szCs w:val="21"/>
              </w:rPr>
            </w:pPr>
          </w:p>
          <w:p w14:paraId="23F7B926">
            <w:pPr>
              <w:widowControl/>
              <w:rPr>
                <w:rFonts w:hint="eastAsia" w:ascii="宋体" w:hAnsi="宋体" w:cs="宋体"/>
                <w:kern w:val="0"/>
                <w:szCs w:val="21"/>
              </w:rPr>
            </w:pPr>
          </w:p>
        </w:tc>
      </w:tr>
      <w:tr w14:paraId="64A4C02D">
        <w:tblPrEx>
          <w:tblCellMar>
            <w:top w:w="0" w:type="dxa"/>
            <w:left w:w="108" w:type="dxa"/>
            <w:bottom w:w="0" w:type="dxa"/>
            <w:right w:w="108" w:type="dxa"/>
          </w:tblCellMar>
        </w:tblPrEx>
        <w:trPr>
          <w:trHeight w:val="1851" w:hRule="atLeast"/>
        </w:trPr>
        <w:tc>
          <w:tcPr>
            <w:tcW w:w="3983" w:type="dxa"/>
            <w:gridSpan w:val="3"/>
            <w:tcBorders>
              <w:top w:val="single" w:color="auto" w:sz="4" w:space="0"/>
              <w:left w:val="single" w:color="auto" w:sz="4" w:space="0"/>
              <w:bottom w:val="single" w:color="auto" w:sz="4" w:space="0"/>
              <w:right w:val="single" w:color="auto" w:sz="4" w:space="0"/>
            </w:tcBorders>
          </w:tcPr>
          <w:p w14:paraId="31C4F621">
            <w:pPr>
              <w:rPr>
                <w:rFonts w:hint="eastAsia" w:ascii="宋体" w:hAnsi="宋体" w:cs="宋体"/>
                <w:color w:val="000000"/>
                <w:kern w:val="0"/>
                <w:szCs w:val="21"/>
              </w:rPr>
            </w:pPr>
            <w:r>
              <w:rPr>
                <w:rFonts w:hint="eastAsia" w:ascii="宋体" w:hAnsi="宋体" w:cs="宋体"/>
                <w:color w:val="000000"/>
                <w:kern w:val="0"/>
                <w:szCs w:val="21"/>
              </w:rPr>
              <w:t>甲方项目负责人签字（盖章）：</w:t>
            </w:r>
          </w:p>
        </w:tc>
        <w:tc>
          <w:tcPr>
            <w:tcW w:w="4254" w:type="dxa"/>
            <w:gridSpan w:val="2"/>
            <w:tcBorders>
              <w:top w:val="single" w:color="auto" w:sz="4" w:space="0"/>
              <w:left w:val="single" w:color="auto" w:sz="4" w:space="0"/>
              <w:bottom w:val="single" w:color="auto" w:sz="4" w:space="0"/>
              <w:right w:val="single" w:color="000000" w:sz="4" w:space="0"/>
            </w:tcBorders>
          </w:tcPr>
          <w:p w14:paraId="35E1128F">
            <w:pPr>
              <w:rPr>
                <w:rFonts w:hint="default" w:ascii="宋体" w:hAnsi="宋体" w:cs="宋体" w:eastAsiaTheme="minorEastAsia"/>
                <w:color w:val="000000"/>
                <w:kern w:val="0"/>
                <w:szCs w:val="21"/>
                <w:lang w:val="en-US" w:eastAsia="zh-CN"/>
              </w:rPr>
            </w:pPr>
            <w:r>
              <w:rPr>
                <w:rFonts w:hint="eastAsia" w:ascii="宋体" w:hAnsi="宋体" w:cs="宋体"/>
                <w:color w:val="000000"/>
                <w:kern w:val="0"/>
                <w:szCs w:val="21"/>
                <w:lang w:val="en-US" w:eastAsia="zh-CN"/>
              </w:rPr>
              <w:t>乙方签字（盖章）：</w:t>
            </w:r>
          </w:p>
        </w:tc>
      </w:tr>
    </w:tbl>
    <w:p w14:paraId="32D7A208">
      <w:pPr>
        <w:spacing w:after="500" w:line="240" w:lineRule="auto"/>
        <w:ind w:firstLine="560" w:firstLineChars="200"/>
        <w:rPr>
          <w:rFonts w:hint="eastAsia" w:ascii="黑体" w:hAnsi="黑体" w:eastAsia="黑体"/>
          <w:sz w:val="28"/>
          <w:szCs w:val="28"/>
          <w:lang w:val="en-US" w:eastAsia="zh-CN"/>
        </w:rPr>
      </w:pPr>
    </w:p>
    <w:p w14:paraId="7C55D7E5">
      <w:pPr>
        <w:spacing w:line="360" w:lineRule="auto"/>
        <w:jc w:val="left"/>
        <w:rPr>
          <w:rFonts w:hint="default" w:ascii="黑体" w:hAnsi="黑体" w:eastAsia="黑体"/>
          <w:sz w:val="28"/>
          <w:szCs w:val="28"/>
          <w:lang w:val="en-US" w:eastAsia="zh-CN"/>
        </w:rPr>
      </w:pPr>
    </w:p>
    <w:p w14:paraId="04D751DE">
      <w:pPr>
        <w:spacing w:line="360" w:lineRule="auto"/>
        <w:jc w:val="left"/>
        <w:rPr>
          <w:rFonts w:hint="default" w:ascii="宋体" w:hAnsi="宋体" w:cs="仿宋"/>
          <w:b w:val="0"/>
          <w:bCs w:val="0"/>
          <w:color w:val="000000"/>
          <w:sz w:val="32"/>
          <w:szCs w:val="32"/>
          <w:lang w:val="en-US" w:eastAsia="zh-CN"/>
        </w:rPr>
      </w:pPr>
    </w:p>
    <w:p w14:paraId="2F066B7E"/>
    <w:p w14:paraId="3E56E32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MicrosoftYaHei">
    <w:altName w:val="宋体"/>
    <w:panose1 w:val="00000000000000000000"/>
    <w:charset w:val="86"/>
    <w:family w:val="auto"/>
    <w:pitch w:val="default"/>
    <w:sig w:usb0="00000000" w:usb1="00000000" w:usb2="00000000" w:usb3="00000000" w:csb0="00000000" w:csb1="00000000"/>
  </w:font>
  <w:font w:name="微软雅黑">
    <w:panose1 w:val="020B0503020204020204"/>
    <w:charset w:val="86"/>
    <w:family w:val="swiss"/>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957D5CE"/>
    <w:multiLevelType w:val="singleLevel"/>
    <w:tmpl w:val="A957D5CE"/>
    <w:lvl w:ilvl="0" w:tentative="0">
      <w:start w:val="1"/>
      <w:numFmt w:val="decimal"/>
      <w:lvlText w:val="%1)"/>
      <w:lvlJc w:val="left"/>
      <w:pPr>
        <w:ind w:left="425" w:hanging="425"/>
      </w:pPr>
      <w:rPr>
        <w:rFonts w:hint="default"/>
      </w:rPr>
    </w:lvl>
  </w:abstractNum>
  <w:abstractNum w:abstractNumId="1">
    <w:nsid w:val="DE37E775"/>
    <w:multiLevelType w:val="singleLevel"/>
    <w:tmpl w:val="DE37E775"/>
    <w:lvl w:ilvl="0" w:tentative="0">
      <w:start w:val="1"/>
      <w:numFmt w:val="decimal"/>
      <w:lvlText w:val="%1、"/>
      <w:lvlJc w:val="left"/>
      <w:pPr>
        <w:ind w:left="420" w:hanging="420"/>
      </w:pPr>
    </w:lvl>
  </w:abstractNum>
  <w:abstractNum w:abstractNumId="2">
    <w:nsid w:val="EB0D9795"/>
    <w:multiLevelType w:val="multilevel"/>
    <w:tmpl w:val="EB0D9795"/>
    <w:lvl w:ilvl="0" w:tentative="0">
      <w:start w:val="1"/>
      <w:numFmt w:val="chineseCounting"/>
      <w:pStyle w:val="3"/>
      <w:suff w:val="nothing"/>
      <w:lvlText w:val="第%1章 "/>
      <w:lvlJc w:val="left"/>
      <w:pPr>
        <w:tabs>
          <w:tab w:val="left" w:pos="0"/>
        </w:tabs>
        <w:ind w:left="425" w:hanging="425"/>
      </w:pPr>
      <w:rPr>
        <w:rFonts w:hint="eastAsia"/>
      </w:rPr>
    </w:lvl>
    <w:lvl w:ilvl="1" w:tentative="0">
      <w:start w:val="1"/>
      <w:numFmt w:val="decimal"/>
      <w:pStyle w:val="4"/>
      <w:isLgl/>
      <w:lvlText w:val="%1.%2."/>
      <w:lvlJc w:val="left"/>
      <w:pPr>
        <w:tabs>
          <w:tab w:val="left" w:pos="420"/>
        </w:tabs>
        <w:ind w:left="567" w:hanging="567"/>
      </w:pPr>
      <w:rPr>
        <w:rFonts w:hint="eastAsia" w:ascii="宋体" w:hAnsi="宋体" w:eastAsia="宋体" w:cs="宋体"/>
      </w:rPr>
    </w:lvl>
    <w:lvl w:ilvl="2" w:tentative="0">
      <w:start w:val="1"/>
      <w:numFmt w:val="decimal"/>
      <w:isLgl/>
      <w:lvlText w:val="%1.%2.%3."/>
      <w:lvlJc w:val="left"/>
      <w:pPr>
        <w:ind w:left="709" w:hanging="709"/>
      </w:pPr>
      <w:rPr>
        <w:rFonts w:hint="eastAsia" w:ascii="宋体" w:hAnsi="宋体" w:eastAsia="宋体" w:cs="宋体"/>
      </w:rPr>
    </w:lvl>
    <w:lvl w:ilvl="3" w:tentative="0">
      <w:start w:val="1"/>
      <w:numFmt w:val="decimal"/>
      <w:isLgl/>
      <w:lvlText w:val="%1.%2.%3.%4."/>
      <w:lvlJc w:val="left"/>
      <w:pPr>
        <w:ind w:left="850" w:hanging="850"/>
      </w:pPr>
      <w:rPr>
        <w:rFonts w:hint="eastAsia" w:ascii="宋体" w:hAnsi="宋体" w:eastAsia="宋体" w:cs="宋体"/>
      </w:rPr>
    </w:lvl>
    <w:lvl w:ilvl="4" w:tentative="0">
      <w:start w:val="1"/>
      <w:numFmt w:val="decimal"/>
      <w:isLgl/>
      <w:lvlText w:val="%1.%2.%3.%4.%5."/>
      <w:lvlJc w:val="left"/>
      <w:pPr>
        <w:ind w:left="991" w:hanging="991"/>
      </w:pPr>
      <w:rPr>
        <w:rFonts w:hint="eastAsia" w:ascii="宋体" w:hAnsi="宋体" w:eastAsia="宋体" w:cs="宋体"/>
      </w:rPr>
    </w:lvl>
    <w:lvl w:ilvl="5" w:tentative="0">
      <w:start w:val="1"/>
      <w:numFmt w:val="decimal"/>
      <w:isLgl/>
      <w:lvlText w:val="%1.%2.%3.%4.%5.%6."/>
      <w:lvlJc w:val="left"/>
      <w:pPr>
        <w:ind w:left="1134" w:hanging="1134"/>
      </w:pPr>
      <w:rPr>
        <w:rFonts w:hint="eastAsia"/>
      </w:rPr>
    </w:lvl>
    <w:lvl w:ilvl="6" w:tentative="0">
      <w:start w:val="1"/>
      <w:numFmt w:val="decimal"/>
      <w:isLgl/>
      <w:lvlText w:val="%1.%2.%3.%4.%5.%6.%7."/>
      <w:lvlJc w:val="left"/>
      <w:pPr>
        <w:ind w:left="1275" w:hanging="1275"/>
      </w:pPr>
      <w:rPr>
        <w:rFonts w:hint="eastAsia"/>
      </w:rPr>
    </w:lvl>
    <w:lvl w:ilvl="7" w:tentative="0">
      <w:start w:val="1"/>
      <w:numFmt w:val="decimal"/>
      <w:isLgl/>
      <w:lvlText w:val="%1.%2.%3.%4.%5.%6.%7.%8."/>
      <w:lvlJc w:val="left"/>
      <w:pPr>
        <w:ind w:left="1418" w:hanging="1418"/>
      </w:pPr>
      <w:rPr>
        <w:rFonts w:hint="eastAsia"/>
      </w:rPr>
    </w:lvl>
    <w:lvl w:ilvl="8" w:tentative="0">
      <w:start w:val="1"/>
      <w:numFmt w:val="decimal"/>
      <w:isLgl/>
      <w:lvlText w:val="%1.%2.%3.%4.%5.%6.%7.%8.%9."/>
      <w:lvlJc w:val="left"/>
      <w:pPr>
        <w:ind w:left="1558" w:hanging="1558"/>
      </w:pPr>
      <w:rPr>
        <w:rFonts w:hint="eastAsia"/>
      </w:rPr>
    </w:lvl>
  </w:abstractNum>
  <w:abstractNum w:abstractNumId="3">
    <w:nsid w:val="0053208E"/>
    <w:multiLevelType w:val="multilevel"/>
    <w:tmpl w:val="0053208E"/>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lvl>
    <w:lvl w:ilvl="2" w:tentative="0">
      <w:start w:val="1"/>
      <w:numFmt w:val="decimal"/>
      <w:pStyle w:val="33"/>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4">
    <w:nsid w:val="3080F801"/>
    <w:multiLevelType w:val="singleLevel"/>
    <w:tmpl w:val="3080F801"/>
    <w:lvl w:ilvl="0" w:tentative="0">
      <w:start w:val="1"/>
      <w:numFmt w:val="decimal"/>
      <w:suff w:val="nothing"/>
      <w:lvlText w:val="%1、"/>
      <w:lvlJc w:val="left"/>
    </w:lvl>
  </w:abstractNum>
  <w:abstractNum w:abstractNumId="5">
    <w:nsid w:val="43DC0987"/>
    <w:multiLevelType w:val="multilevel"/>
    <w:tmpl w:val="43DC0987"/>
    <w:lvl w:ilvl="0" w:tentative="0">
      <w:start w:val="1"/>
      <w:numFmt w:val="decimal"/>
      <w:lvlText w:val="%1."/>
      <w:lvlJc w:val="left"/>
      <w:pPr>
        <w:ind w:left="0" w:firstLine="0"/>
      </w:pPr>
      <w:rPr>
        <w:rFonts w:hint="eastAsia" w:ascii="宋体" w:hAnsi="仿宋" w:eastAsia="宋体"/>
        <w:b/>
        <w:bCs w:val="0"/>
        <w:i w:val="0"/>
        <w:iCs w:val="0"/>
        <w:caps w:val="0"/>
        <w:smallCaps w:val="0"/>
        <w:strike w:val="0"/>
        <w:dstrike w:val="0"/>
        <w:vanish w:val="0"/>
        <w:spacing w:val="0"/>
        <w:position w:val="0"/>
        <w:sz w:val="28"/>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decimal"/>
      <w:lvlText w:val="1.%2"/>
      <w:lvlJc w:val="left"/>
      <w:pPr>
        <w:ind w:left="284" w:firstLine="0"/>
      </w:pPr>
      <w:rPr>
        <w:rFonts w:hint="eastAsia"/>
        <w:b/>
        <w:bCs w:val="0"/>
        <w:i w:val="0"/>
      </w:rPr>
    </w:lvl>
    <w:lvl w:ilvl="2" w:tentative="0">
      <w:start w:val="1"/>
      <w:numFmt w:val="decimal"/>
      <w:pStyle w:val="7"/>
      <w:lvlText w:val="%1.%2.%3."/>
      <w:lvlJc w:val="left"/>
      <w:pPr>
        <w:ind w:left="284" w:firstLine="0"/>
      </w:pPr>
      <w:rPr>
        <w:rFonts w:hint="eastAsia" w:ascii="宋体" w:hAnsi="仿宋" w:eastAsia="宋体"/>
        <w:b/>
        <w:i w:val="0"/>
        <w:sz w:val="24"/>
      </w:rPr>
    </w:lvl>
    <w:lvl w:ilvl="3" w:tentative="0">
      <w:start w:val="1"/>
      <w:numFmt w:val="decimal"/>
      <w:lvlText w:val="%1.%2.%3.%4."/>
      <w:lvlJc w:val="left"/>
      <w:pPr>
        <w:ind w:left="0" w:firstLine="0"/>
      </w:pPr>
      <w:rPr>
        <w:rFonts w:hint="eastAsia" w:ascii="宋体" w:hAnsi="仿宋" w:eastAsia="宋体"/>
      </w:rPr>
    </w:lvl>
    <w:lvl w:ilvl="4" w:tentative="0">
      <w:start w:val="1"/>
      <w:numFmt w:val="decimal"/>
      <w:lvlText w:val="%1.%2.%3.%4.%5."/>
      <w:lvlJc w:val="left"/>
      <w:pPr>
        <w:ind w:left="0" w:firstLine="0"/>
      </w:pPr>
      <w:rPr>
        <w:rFonts w:hint="eastAsia"/>
      </w:rPr>
    </w:lvl>
    <w:lvl w:ilvl="5" w:tentative="0">
      <w:start w:val="1"/>
      <w:numFmt w:val="decima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6">
    <w:nsid w:val="5402D191"/>
    <w:multiLevelType w:val="singleLevel"/>
    <w:tmpl w:val="5402D191"/>
    <w:lvl w:ilvl="0" w:tentative="0">
      <w:start w:val="1"/>
      <w:numFmt w:val="decimal"/>
      <w:suff w:val="nothing"/>
      <w:lvlText w:val="%1、"/>
      <w:lvlJc w:val="left"/>
      <w:rPr>
        <w:snapToGrid/>
        <w:spacing w:val="0"/>
        <w:w w:val="100"/>
        <w:kern w:val="2"/>
        <w:position w:val="0"/>
        <w:sz w:val="27"/>
      </w:rPr>
    </w:lvl>
  </w:abstractNum>
  <w:abstractNum w:abstractNumId="7">
    <w:nsid w:val="69B0116C"/>
    <w:multiLevelType w:val="singleLevel"/>
    <w:tmpl w:val="69B0116C"/>
    <w:lvl w:ilvl="0" w:tentative="0">
      <w:start w:val="1"/>
      <w:numFmt w:val="decimal"/>
      <w:lvlText w:val="%1)"/>
      <w:lvlJc w:val="left"/>
      <w:pPr>
        <w:ind w:left="425" w:hanging="425"/>
      </w:pPr>
      <w:rPr>
        <w:rFonts w:hint="default"/>
      </w:rPr>
    </w:lvl>
  </w:abstractNum>
  <w:abstractNum w:abstractNumId="8">
    <w:nsid w:val="70BE3FF6"/>
    <w:multiLevelType w:val="singleLevel"/>
    <w:tmpl w:val="70BE3FF6"/>
    <w:lvl w:ilvl="0" w:tentative="0">
      <w:start w:val="1"/>
      <w:numFmt w:val="decimal"/>
      <w:lvlText w:val="%1)"/>
      <w:lvlJc w:val="left"/>
      <w:pPr>
        <w:ind w:left="425" w:hanging="425"/>
      </w:pPr>
      <w:rPr>
        <w:rFonts w:hint="default"/>
      </w:rPr>
    </w:lvl>
  </w:abstractNum>
  <w:num w:numId="1">
    <w:abstractNumId w:val="2"/>
  </w:num>
  <w:num w:numId="2">
    <w:abstractNumId w:val="5"/>
  </w:num>
  <w:num w:numId="3">
    <w:abstractNumId w:val="3"/>
  </w:num>
  <w:num w:numId="4">
    <w:abstractNumId w:val="1"/>
  </w:num>
  <w:num w:numId="5">
    <w:abstractNumId w:val="4"/>
  </w:num>
  <w:num w:numId="6">
    <w:abstractNumId w:val="8"/>
  </w:num>
  <w:num w:numId="7">
    <w:abstractNumId w:val="0"/>
  </w:num>
  <w:num w:numId="8">
    <w:abstractNumId w:val="7"/>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4NDAxYjE3NzA0ZGFkNjgzZDRjNjk3Y2IwN2QzMjEifQ=="/>
    <w:docVar w:name="KSO_WPS_MARK_KEY" w:val="e7998bcc-ba2e-4971-89f9-165792dc37df"/>
  </w:docVars>
  <w:rsids>
    <w:rsidRoot w:val="00AA1587"/>
    <w:rsid w:val="000A1BB3"/>
    <w:rsid w:val="000B5740"/>
    <w:rsid w:val="001221AD"/>
    <w:rsid w:val="00246401"/>
    <w:rsid w:val="00290398"/>
    <w:rsid w:val="002B62A4"/>
    <w:rsid w:val="003636FD"/>
    <w:rsid w:val="00557160"/>
    <w:rsid w:val="005748BB"/>
    <w:rsid w:val="005932EA"/>
    <w:rsid w:val="005D6F2B"/>
    <w:rsid w:val="00795CF3"/>
    <w:rsid w:val="009551A0"/>
    <w:rsid w:val="0099418A"/>
    <w:rsid w:val="009C7DAE"/>
    <w:rsid w:val="009E3B34"/>
    <w:rsid w:val="00A21CD7"/>
    <w:rsid w:val="00AA1587"/>
    <w:rsid w:val="00B178A1"/>
    <w:rsid w:val="00B32564"/>
    <w:rsid w:val="00B415C0"/>
    <w:rsid w:val="00B71150"/>
    <w:rsid w:val="00C41ADE"/>
    <w:rsid w:val="00C90B1B"/>
    <w:rsid w:val="00C9580D"/>
    <w:rsid w:val="00D0227F"/>
    <w:rsid w:val="00D03E35"/>
    <w:rsid w:val="00D1309E"/>
    <w:rsid w:val="02587777"/>
    <w:rsid w:val="027E6C75"/>
    <w:rsid w:val="02807276"/>
    <w:rsid w:val="03082F4B"/>
    <w:rsid w:val="037474BD"/>
    <w:rsid w:val="03757E97"/>
    <w:rsid w:val="04215B1C"/>
    <w:rsid w:val="056D430E"/>
    <w:rsid w:val="06284FC0"/>
    <w:rsid w:val="06FD566D"/>
    <w:rsid w:val="071E2D3E"/>
    <w:rsid w:val="07AF5133"/>
    <w:rsid w:val="08A543EB"/>
    <w:rsid w:val="09242161"/>
    <w:rsid w:val="09DD5F7B"/>
    <w:rsid w:val="0B01149F"/>
    <w:rsid w:val="0BC57674"/>
    <w:rsid w:val="0BFD3FF2"/>
    <w:rsid w:val="0CCC4058"/>
    <w:rsid w:val="0D5154EF"/>
    <w:rsid w:val="0D6175BB"/>
    <w:rsid w:val="0ECC63D7"/>
    <w:rsid w:val="0EE94E2D"/>
    <w:rsid w:val="0F860A35"/>
    <w:rsid w:val="0FDC69B3"/>
    <w:rsid w:val="10C723B1"/>
    <w:rsid w:val="11457119"/>
    <w:rsid w:val="11BB73DB"/>
    <w:rsid w:val="1203345F"/>
    <w:rsid w:val="12645AF2"/>
    <w:rsid w:val="1292577B"/>
    <w:rsid w:val="13CB4998"/>
    <w:rsid w:val="146F48E9"/>
    <w:rsid w:val="14D07641"/>
    <w:rsid w:val="153271A7"/>
    <w:rsid w:val="15C92400"/>
    <w:rsid w:val="16000B80"/>
    <w:rsid w:val="16A36768"/>
    <w:rsid w:val="16BF796D"/>
    <w:rsid w:val="177009C8"/>
    <w:rsid w:val="18C25F68"/>
    <w:rsid w:val="18F76334"/>
    <w:rsid w:val="191A6149"/>
    <w:rsid w:val="195963AF"/>
    <w:rsid w:val="19B412DF"/>
    <w:rsid w:val="1A0A7A8C"/>
    <w:rsid w:val="1A9441C4"/>
    <w:rsid w:val="1C1357D3"/>
    <w:rsid w:val="1C4C1DC8"/>
    <w:rsid w:val="1D0E51AB"/>
    <w:rsid w:val="1D4848F9"/>
    <w:rsid w:val="1DB775F0"/>
    <w:rsid w:val="1EB27BD0"/>
    <w:rsid w:val="1ECC2C27"/>
    <w:rsid w:val="1EF8106D"/>
    <w:rsid w:val="1F1745F6"/>
    <w:rsid w:val="1F1B449B"/>
    <w:rsid w:val="1F4613C6"/>
    <w:rsid w:val="20234AC9"/>
    <w:rsid w:val="208714FC"/>
    <w:rsid w:val="20E93B38"/>
    <w:rsid w:val="21105668"/>
    <w:rsid w:val="21713EAC"/>
    <w:rsid w:val="21983404"/>
    <w:rsid w:val="23A844F8"/>
    <w:rsid w:val="24E95D34"/>
    <w:rsid w:val="2580651A"/>
    <w:rsid w:val="276716D6"/>
    <w:rsid w:val="27D8208B"/>
    <w:rsid w:val="2817785A"/>
    <w:rsid w:val="28632A43"/>
    <w:rsid w:val="286353F0"/>
    <w:rsid w:val="2915607D"/>
    <w:rsid w:val="299F5AE1"/>
    <w:rsid w:val="2A372565"/>
    <w:rsid w:val="2B156FF2"/>
    <w:rsid w:val="2B792023"/>
    <w:rsid w:val="2BAA2542"/>
    <w:rsid w:val="2CD13308"/>
    <w:rsid w:val="2D462D19"/>
    <w:rsid w:val="2DDB3DB1"/>
    <w:rsid w:val="2DDB6E15"/>
    <w:rsid w:val="2E17213A"/>
    <w:rsid w:val="2E492237"/>
    <w:rsid w:val="2ED0406E"/>
    <w:rsid w:val="2F837D56"/>
    <w:rsid w:val="2FAD5E00"/>
    <w:rsid w:val="30365638"/>
    <w:rsid w:val="30B637BB"/>
    <w:rsid w:val="32A2785A"/>
    <w:rsid w:val="32D62B99"/>
    <w:rsid w:val="342D3D10"/>
    <w:rsid w:val="346C76AD"/>
    <w:rsid w:val="348E0634"/>
    <w:rsid w:val="34AA5B2B"/>
    <w:rsid w:val="35153E9A"/>
    <w:rsid w:val="35337105"/>
    <w:rsid w:val="354D2850"/>
    <w:rsid w:val="35B422E6"/>
    <w:rsid w:val="35E14BB8"/>
    <w:rsid w:val="36BE46BB"/>
    <w:rsid w:val="36D374D7"/>
    <w:rsid w:val="37986F24"/>
    <w:rsid w:val="37987A5E"/>
    <w:rsid w:val="38FD01D1"/>
    <w:rsid w:val="39DE76A5"/>
    <w:rsid w:val="3B0E09E5"/>
    <w:rsid w:val="3B427BE3"/>
    <w:rsid w:val="3BD0484B"/>
    <w:rsid w:val="3BD1557C"/>
    <w:rsid w:val="3C0678D2"/>
    <w:rsid w:val="3C152DBD"/>
    <w:rsid w:val="3C221191"/>
    <w:rsid w:val="3D0C0B0A"/>
    <w:rsid w:val="3D2A34E3"/>
    <w:rsid w:val="3D766915"/>
    <w:rsid w:val="3D8812B8"/>
    <w:rsid w:val="3DF32C30"/>
    <w:rsid w:val="3E415447"/>
    <w:rsid w:val="3E9056D3"/>
    <w:rsid w:val="3F1D32FF"/>
    <w:rsid w:val="3F6611ED"/>
    <w:rsid w:val="3FAB327F"/>
    <w:rsid w:val="4026348C"/>
    <w:rsid w:val="41571641"/>
    <w:rsid w:val="41643D9A"/>
    <w:rsid w:val="418B5EBB"/>
    <w:rsid w:val="42186000"/>
    <w:rsid w:val="430622FC"/>
    <w:rsid w:val="447E7E2A"/>
    <w:rsid w:val="450C508D"/>
    <w:rsid w:val="45C06792"/>
    <w:rsid w:val="45DF37EB"/>
    <w:rsid w:val="46352F9D"/>
    <w:rsid w:val="46905076"/>
    <w:rsid w:val="46F26E20"/>
    <w:rsid w:val="46F71DBC"/>
    <w:rsid w:val="4734568A"/>
    <w:rsid w:val="486620A5"/>
    <w:rsid w:val="486C47D7"/>
    <w:rsid w:val="48E27D23"/>
    <w:rsid w:val="4A196F32"/>
    <w:rsid w:val="4AFF1B0B"/>
    <w:rsid w:val="4AFF46B8"/>
    <w:rsid w:val="4B054C48"/>
    <w:rsid w:val="4B3348D0"/>
    <w:rsid w:val="4B4A0F01"/>
    <w:rsid w:val="4BB92EC3"/>
    <w:rsid w:val="4C914391"/>
    <w:rsid w:val="4CB00CE3"/>
    <w:rsid w:val="4CCC0BA3"/>
    <w:rsid w:val="4D3F08E5"/>
    <w:rsid w:val="4D547818"/>
    <w:rsid w:val="4D866310"/>
    <w:rsid w:val="4DAF518A"/>
    <w:rsid w:val="4DF01BDF"/>
    <w:rsid w:val="4E047438"/>
    <w:rsid w:val="4E357B02"/>
    <w:rsid w:val="4E4303CA"/>
    <w:rsid w:val="4E8E77E3"/>
    <w:rsid w:val="4F7320D0"/>
    <w:rsid w:val="50BE54A9"/>
    <w:rsid w:val="50D30296"/>
    <w:rsid w:val="52A122C9"/>
    <w:rsid w:val="52A62FC3"/>
    <w:rsid w:val="52F318FC"/>
    <w:rsid w:val="540255D9"/>
    <w:rsid w:val="54267DA4"/>
    <w:rsid w:val="54705699"/>
    <w:rsid w:val="54D50EB0"/>
    <w:rsid w:val="55291AF5"/>
    <w:rsid w:val="555570E4"/>
    <w:rsid w:val="55E404F6"/>
    <w:rsid w:val="563F3703"/>
    <w:rsid w:val="58044016"/>
    <w:rsid w:val="58212D9B"/>
    <w:rsid w:val="591115B3"/>
    <w:rsid w:val="596820CB"/>
    <w:rsid w:val="59B14FC6"/>
    <w:rsid w:val="59F607C0"/>
    <w:rsid w:val="59F946E3"/>
    <w:rsid w:val="5B3E583B"/>
    <w:rsid w:val="5B65074E"/>
    <w:rsid w:val="5BC15E3F"/>
    <w:rsid w:val="5C075CE8"/>
    <w:rsid w:val="5CA644DC"/>
    <w:rsid w:val="5CBD5382"/>
    <w:rsid w:val="5CFD377C"/>
    <w:rsid w:val="5E4915C3"/>
    <w:rsid w:val="5E67383E"/>
    <w:rsid w:val="5EE91B71"/>
    <w:rsid w:val="5EFA6B55"/>
    <w:rsid w:val="5FB92C2E"/>
    <w:rsid w:val="5FE53F41"/>
    <w:rsid w:val="60030F64"/>
    <w:rsid w:val="623065F6"/>
    <w:rsid w:val="62335ECC"/>
    <w:rsid w:val="630C044E"/>
    <w:rsid w:val="64104633"/>
    <w:rsid w:val="650F4BE9"/>
    <w:rsid w:val="65206DF6"/>
    <w:rsid w:val="6670505E"/>
    <w:rsid w:val="668653AC"/>
    <w:rsid w:val="66DF6EFB"/>
    <w:rsid w:val="66ED2BFB"/>
    <w:rsid w:val="66F1683B"/>
    <w:rsid w:val="674B3D63"/>
    <w:rsid w:val="677B5394"/>
    <w:rsid w:val="67A729A5"/>
    <w:rsid w:val="684A3093"/>
    <w:rsid w:val="68506EE1"/>
    <w:rsid w:val="68D03617"/>
    <w:rsid w:val="69AE2A5F"/>
    <w:rsid w:val="69E72097"/>
    <w:rsid w:val="6A6F34EB"/>
    <w:rsid w:val="6AB355AD"/>
    <w:rsid w:val="6B184A21"/>
    <w:rsid w:val="6B6E5571"/>
    <w:rsid w:val="6C427652"/>
    <w:rsid w:val="6C8741BB"/>
    <w:rsid w:val="6D2515A4"/>
    <w:rsid w:val="6E3D2C7C"/>
    <w:rsid w:val="6E8A48AB"/>
    <w:rsid w:val="6E950D2C"/>
    <w:rsid w:val="6FB45B28"/>
    <w:rsid w:val="700510C2"/>
    <w:rsid w:val="702206D8"/>
    <w:rsid w:val="703662DF"/>
    <w:rsid w:val="708B7E9F"/>
    <w:rsid w:val="70F33611"/>
    <w:rsid w:val="718E5293"/>
    <w:rsid w:val="71F254CD"/>
    <w:rsid w:val="72637AFF"/>
    <w:rsid w:val="72EB64D3"/>
    <w:rsid w:val="72FF44EF"/>
    <w:rsid w:val="74195A9D"/>
    <w:rsid w:val="74541185"/>
    <w:rsid w:val="753461B2"/>
    <w:rsid w:val="77013680"/>
    <w:rsid w:val="779C055E"/>
    <w:rsid w:val="77D953F3"/>
    <w:rsid w:val="77F10232"/>
    <w:rsid w:val="78373497"/>
    <w:rsid w:val="7940316B"/>
    <w:rsid w:val="79517DF8"/>
    <w:rsid w:val="7A5C0AC2"/>
    <w:rsid w:val="7B4D7FF5"/>
    <w:rsid w:val="7BF34B33"/>
    <w:rsid w:val="7C680150"/>
    <w:rsid w:val="7C87122E"/>
    <w:rsid w:val="7C9B5BF7"/>
    <w:rsid w:val="7D18282E"/>
    <w:rsid w:val="7D2D5C3E"/>
    <w:rsid w:val="7FB61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9" w:semiHidden="0" w:name="heading 4"/>
    <w:lsdException w:qFormat="1" w:uiPriority="9" w:semiHidden="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1"/>
    <w:basedOn w:val="1"/>
    <w:next w:val="1"/>
    <w:qFormat/>
    <w:uiPriority w:val="0"/>
    <w:pPr>
      <w:keepNext/>
      <w:numPr>
        <w:ilvl w:val="0"/>
        <w:numId w:val="1"/>
      </w:numPr>
      <w:spacing w:line="300" w:lineRule="auto"/>
      <w:ind w:left="425" w:hanging="425"/>
      <w:jc w:val="center"/>
      <w:outlineLvl w:val="0"/>
    </w:pPr>
    <w:rPr>
      <w:rFonts w:ascii="Tahoma" w:hAnsi="Tahoma" w:eastAsia="黑体"/>
      <w:b/>
      <w:sz w:val="32"/>
    </w:rPr>
  </w:style>
  <w:style w:type="paragraph" w:styleId="4">
    <w:name w:val="heading 2"/>
    <w:basedOn w:val="1"/>
    <w:next w:val="1"/>
    <w:unhideWhenUsed/>
    <w:qFormat/>
    <w:uiPriority w:val="0"/>
    <w:pPr>
      <w:keepNext/>
      <w:keepLines/>
      <w:numPr>
        <w:ilvl w:val="1"/>
        <w:numId w:val="1"/>
      </w:numPr>
      <w:spacing w:before="100" w:beforeLines="0" w:beforeAutospacing="0" w:after="100" w:afterLines="0" w:afterAutospacing="0" w:line="360" w:lineRule="auto"/>
      <w:ind w:left="567" w:hanging="567"/>
      <w:outlineLvl w:val="1"/>
    </w:pPr>
    <w:rPr>
      <w:rFonts w:ascii="Arial" w:hAnsi="Arial" w:eastAsia="黑体"/>
      <w:b/>
      <w:sz w:val="30"/>
    </w:rPr>
  </w:style>
  <w:style w:type="paragraph" w:styleId="5">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6">
    <w:name w:val="heading 4"/>
    <w:basedOn w:val="1"/>
    <w:next w:val="1"/>
    <w:unhideWhenUsed/>
    <w:qFormat/>
    <w:uiPriority w:val="9"/>
    <w:pPr>
      <w:keepNext/>
      <w:keepLines/>
      <w:spacing w:line="360" w:lineRule="auto"/>
      <w:jc w:val="left"/>
      <w:outlineLvl w:val="3"/>
    </w:pPr>
    <w:rPr>
      <w:rFonts w:eastAsia="宋体" w:asciiTheme="majorHAnsi" w:hAnsiTheme="majorHAnsi" w:cstheme="majorBidi"/>
      <w:b/>
      <w:bCs/>
      <w:sz w:val="24"/>
      <w:szCs w:val="28"/>
    </w:rPr>
  </w:style>
  <w:style w:type="paragraph" w:styleId="7">
    <w:name w:val="heading 5"/>
    <w:basedOn w:val="1"/>
    <w:next w:val="1"/>
    <w:unhideWhenUsed/>
    <w:qFormat/>
    <w:uiPriority w:val="9"/>
    <w:pPr>
      <w:keepNext/>
      <w:keepLines/>
      <w:numPr>
        <w:ilvl w:val="2"/>
        <w:numId w:val="2"/>
      </w:numPr>
      <w:spacing w:line="360" w:lineRule="auto"/>
      <w:jc w:val="left"/>
      <w:outlineLvl w:val="4"/>
    </w:pPr>
    <w:rPr>
      <w:rFonts w:eastAsia="宋体"/>
      <w:bCs/>
      <w:sz w:val="24"/>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customStyle="1" w:styleId="2">
    <w:name w:val="正文1"/>
    <w:basedOn w:val="1"/>
    <w:next w:val="1"/>
    <w:qFormat/>
    <w:uiPriority w:val="99"/>
    <w:pPr>
      <w:widowControl/>
      <w:spacing w:before="156"/>
      <w:ind w:firstLine="510"/>
      <w:jc w:val="left"/>
    </w:pPr>
    <w:rPr>
      <w:rFonts w:ascii="Times New Roman" w:hAnsi="Times New Roman"/>
      <w:szCs w:val="20"/>
    </w:rPr>
  </w:style>
  <w:style w:type="paragraph" w:styleId="8">
    <w:name w:val="annotation text"/>
    <w:basedOn w:val="1"/>
    <w:qFormat/>
    <w:uiPriority w:val="0"/>
    <w:pPr>
      <w:jc w:val="left"/>
    </w:pPr>
  </w:style>
  <w:style w:type="paragraph" w:styleId="9">
    <w:name w:val="Body Text"/>
    <w:basedOn w:val="1"/>
    <w:next w:val="10"/>
    <w:qFormat/>
    <w:uiPriority w:val="0"/>
    <w:pPr>
      <w:tabs>
        <w:tab w:val="left" w:pos="5250"/>
      </w:tabs>
    </w:pPr>
    <w:rPr>
      <w:sz w:val="28"/>
    </w:rPr>
  </w:style>
  <w:style w:type="paragraph" w:styleId="10">
    <w:name w:val="Body Text First Indent"/>
    <w:basedOn w:val="9"/>
    <w:next w:val="1"/>
    <w:unhideWhenUsed/>
    <w:qFormat/>
    <w:uiPriority w:val="99"/>
    <w:pPr>
      <w:tabs>
        <w:tab w:val="clear" w:pos="5250"/>
      </w:tabs>
      <w:spacing w:after="120"/>
      <w:ind w:firstLine="420" w:firstLineChars="100"/>
    </w:pPr>
    <w:rPr>
      <w:sz w:val="21"/>
    </w:rPr>
  </w:style>
  <w:style w:type="paragraph" w:styleId="11">
    <w:name w:val="Body Text Indent"/>
    <w:basedOn w:val="1"/>
    <w:next w:val="12"/>
    <w:qFormat/>
    <w:uiPriority w:val="0"/>
    <w:pPr>
      <w:spacing w:line="300" w:lineRule="auto"/>
      <w:ind w:firstLine="560" w:firstLineChars="200"/>
      <w:jc w:val="left"/>
    </w:pPr>
    <w:rPr>
      <w:sz w:val="28"/>
    </w:rPr>
  </w:style>
  <w:style w:type="paragraph" w:styleId="12">
    <w:name w:val="envelope return"/>
    <w:basedOn w:val="1"/>
    <w:qFormat/>
    <w:uiPriority w:val="0"/>
    <w:pPr>
      <w:snapToGrid w:val="0"/>
    </w:pPr>
    <w:rPr>
      <w:rFonts w:ascii="Cambria" w:hAnsi="Cambria"/>
      <w:szCs w:val="20"/>
    </w:rPr>
  </w:style>
  <w:style w:type="paragraph" w:styleId="13">
    <w:name w:val="footer"/>
    <w:basedOn w:val="1"/>
    <w:link w:val="26"/>
    <w:qFormat/>
    <w:uiPriority w:val="0"/>
    <w:pPr>
      <w:tabs>
        <w:tab w:val="center" w:pos="4153"/>
        <w:tab w:val="right" w:pos="8306"/>
      </w:tabs>
      <w:snapToGrid w:val="0"/>
      <w:jc w:val="left"/>
    </w:pPr>
    <w:rPr>
      <w:sz w:val="18"/>
      <w:szCs w:val="18"/>
    </w:rPr>
  </w:style>
  <w:style w:type="paragraph" w:styleId="14">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15">
    <w:name w:val="Body Text Indent 3"/>
    <w:basedOn w:val="1"/>
    <w:qFormat/>
    <w:uiPriority w:val="0"/>
    <w:pPr>
      <w:spacing w:line="440" w:lineRule="atLeast"/>
      <w:ind w:firstLine="480" w:firstLineChars="200"/>
      <w:jc w:val="left"/>
    </w:pPr>
    <w:rPr>
      <w:sz w:val="24"/>
    </w:rPr>
  </w:style>
  <w:style w:type="paragraph" w:styleId="16">
    <w:name w:val="Normal (Web)"/>
    <w:basedOn w:val="1"/>
    <w:qFormat/>
    <w:uiPriority w:val="0"/>
    <w:pPr>
      <w:spacing w:beforeAutospacing="1" w:afterAutospacing="1"/>
      <w:jc w:val="left"/>
    </w:pPr>
    <w:rPr>
      <w:rFonts w:cs="Times New Roman"/>
      <w:kern w:val="0"/>
      <w:sz w:val="24"/>
    </w:rPr>
  </w:style>
  <w:style w:type="paragraph" w:styleId="17">
    <w:name w:val="index 1"/>
    <w:basedOn w:val="1"/>
    <w:next w:val="1"/>
    <w:qFormat/>
    <w:uiPriority w:val="0"/>
    <w:pPr>
      <w:widowControl/>
      <w:spacing w:line="288" w:lineRule="auto"/>
      <w:jc w:val="left"/>
    </w:pPr>
    <w:rPr>
      <w:rFonts w:ascii="Times New Roman" w:hAnsi="Times New Roman"/>
      <w:szCs w:val="24"/>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0"/>
    <w:rPr>
      <w:b/>
    </w:rPr>
  </w:style>
  <w:style w:type="character" w:styleId="22">
    <w:name w:val="page number"/>
    <w:qFormat/>
    <w:uiPriority w:val="0"/>
  </w:style>
  <w:style w:type="character" w:styleId="23">
    <w:name w:val="Hyperlink"/>
    <w:basedOn w:val="20"/>
    <w:unhideWhenUsed/>
    <w:qFormat/>
    <w:uiPriority w:val="99"/>
    <w:rPr>
      <w:color w:val="0000FF"/>
      <w:u w:val="single"/>
    </w:rPr>
  </w:style>
  <w:style w:type="paragraph" w:customStyle="1" w:styleId="24">
    <w:name w:val="表格文字"/>
    <w:basedOn w:val="11"/>
    <w:next w:val="9"/>
    <w:qFormat/>
    <w:uiPriority w:val="0"/>
    <w:pPr>
      <w:adjustRightInd w:val="0"/>
      <w:snapToGrid w:val="0"/>
      <w:spacing w:beforeLines="50" w:afterLines="50" w:line="360" w:lineRule="auto"/>
      <w:ind w:firstLine="200" w:firstLineChars="200"/>
      <w:jc w:val="left"/>
    </w:pPr>
    <w:rPr>
      <w:rFonts w:ascii="Calibri" w:hAnsi="Calibri"/>
      <w:bCs/>
      <w:spacing w:val="10"/>
      <w:kern w:val="0"/>
    </w:rPr>
  </w:style>
  <w:style w:type="character" w:customStyle="1" w:styleId="25">
    <w:name w:val="页眉 Char"/>
    <w:basedOn w:val="20"/>
    <w:link w:val="14"/>
    <w:qFormat/>
    <w:uiPriority w:val="0"/>
    <w:rPr>
      <w:rFonts w:asciiTheme="minorHAnsi" w:hAnsiTheme="minorHAnsi" w:eastAsiaTheme="minorEastAsia" w:cstheme="minorBidi"/>
      <w:kern w:val="2"/>
      <w:sz w:val="18"/>
      <w:szCs w:val="18"/>
    </w:rPr>
  </w:style>
  <w:style w:type="character" w:customStyle="1" w:styleId="26">
    <w:name w:val="页脚 Char"/>
    <w:basedOn w:val="20"/>
    <w:link w:val="13"/>
    <w:qFormat/>
    <w:uiPriority w:val="0"/>
    <w:rPr>
      <w:rFonts w:asciiTheme="minorHAnsi" w:hAnsiTheme="minorHAnsi" w:eastAsiaTheme="minorEastAsia" w:cstheme="minorBidi"/>
      <w:kern w:val="2"/>
      <w:sz w:val="18"/>
      <w:szCs w:val="18"/>
    </w:rPr>
  </w:style>
  <w:style w:type="character" w:customStyle="1" w:styleId="27">
    <w:name w:val="font21"/>
    <w:basedOn w:val="20"/>
    <w:qFormat/>
    <w:uiPriority w:val="0"/>
    <w:rPr>
      <w:rFonts w:hint="eastAsia" w:ascii="宋体" w:hAnsi="宋体" w:eastAsia="宋体" w:cs="宋体"/>
      <w:color w:val="000000"/>
      <w:sz w:val="21"/>
      <w:szCs w:val="21"/>
      <w:u w:val="none"/>
    </w:rPr>
  </w:style>
  <w:style w:type="character" w:customStyle="1" w:styleId="28">
    <w:name w:val="font31"/>
    <w:basedOn w:val="20"/>
    <w:qFormat/>
    <w:uiPriority w:val="0"/>
    <w:rPr>
      <w:rFonts w:hint="eastAsia" w:ascii="宋体" w:hAnsi="宋体" w:eastAsia="宋体" w:cs="宋体"/>
      <w:color w:val="000000"/>
      <w:sz w:val="21"/>
      <w:szCs w:val="21"/>
      <w:u w:val="single"/>
    </w:rPr>
  </w:style>
  <w:style w:type="character" w:customStyle="1" w:styleId="29">
    <w:name w:val="font11"/>
    <w:basedOn w:val="20"/>
    <w:qFormat/>
    <w:uiPriority w:val="0"/>
    <w:rPr>
      <w:rFonts w:hint="eastAsia" w:ascii="宋体" w:hAnsi="宋体" w:eastAsia="宋体" w:cs="宋体"/>
      <w:b/>
      <w:bCs/>
      <w:color w:val="000000"/>
      <w:sz w:val="21"/>
      <w:szCs w:val="21"/>
      <w:u w:val="none"/>
    </w:rPr>
  </w:style>
  <w:style w:type="paragraph" w:customStyle="1" w:styleId="30">
    <w:name w:val="石墨文档正文"/>
    <w:qFormat/>
    <w:uiPriority w:val="0"/>
    <w:rPr>
      <w:rFonts w:ascii="Arial Unicode MS" w:hAnsi="Arial Unicode MS" w:eastAsia="MicrosoftYaHei" w:cs="Arial Unicode MS"/>
      <w:sz w:val="22"/>
      <w:szCs w:val="22"/>
    </w:rPr>
  </w:style>
  <w:style w:type="paragraph" w:styleId="31">
    <w:name w:val="List Paragraph"/>
    <w:basedOn w:val="1"/>
    <w:qFormat/>
    <w:uiPriority w:val="34"/>
    <w:pPr>
      <w:ind w:firstLine="420" w:firstLineChars="200"/>
    </w:pPr>
  </w:style>
  <w:style w:type="paragraph" w:customStyle="1" w:styleId="32">
    <w:name w:val="列出段落1"/>
    <w:basedOn w:val="1"/>
    <w:qFormat/>
    <w:uiPriority w:val="34"/>
    <w:pPr>
      <w:ind w:firstLine="420" w:firstLineChars="200"/>
    </w:pPr>
    <w:rPr>
      <w:rFonts w:ascii="Calibri" w:hAnsi="Calibri"/>
      <w:sz w:val="24"/>
      <w:szCs w:val="22"/>
    </w:rPr>
  </w:style>
  <w:style w:type="paragraph" w:customStyle="1" w:styleId="33">
    <w:name w:val="标题 31"/>
    <w:basedOn w:val="1"/>
    <w:next w:val="1"/>
    <w:qFormat/>
    <w:uiPriority w:val="0"/>
    <w:pPr>
      <w:keepNext/>
      <w:keepLines/>
      <w:numPr>
        <w:ilvl w:val="2"/>
        <w:numId w:val="3"/>
      </w:numPr>
      <w:spacing w:before="260" w:after="260" w:line="410" w:lineRule="auto"/>
      <w:outlineLvl w:val="2"/>
    </w:pPr>
    <w:rPr>
      <w:rFonts w:ascii="宋体" w:hAnsiTheme="minorHAnsi" w:eastAsiaTheme="minorEastAsia" w:cstheme="minorBidi"/>
      <w:b/>
      <w:color w:val="000000"/>
      <w:sz w:val="32"/>
      <w:szCs w:val="20"/>
    </w:rPr>
  </w:style>
  <w:style w:type="paragraph" w:customStyle="1" w:styleId="34">
    <w:name w:val="标题 41"/>
    <w:basedOn w:val="1"/>
    <w:next w:val="1"/>
    <w:qFormat/>
    <w:uiPriority w:val="0"/>
    <w:pPr>
      <w:keepNext/>
      <w:keepLines/>
      <w:spacing w:before="280" w:after="290" w:line="372" w:lineRule="auto"/>
      <w:outlineLvl w:val="3"/>
    </w:pPr>
    <w:rPr>
      <w:rFonts w:ascii="Arial" w:hAnsi="Arial" w:eastAsia="黑体" w:cstheme="minorBidi"/>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20</Pages>
  <Words>4528</Words>
  <Characters>4745</Characters>
  <Lines>8</Lines>
  <Paragraphs>2</Paragraphs>
  <TotalTime>0</TotalTime>
  <ScaleCrop>false</ScaleCrop>
  <LinksUpToDate>false</LinksUpToDate>
  <CharactersWithSpaces>5036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2021-09-14T00:45:00Z</dcterms:created>
  <dc:creator>86188</dc:creator>
  <cp:lastModifiedBy>J</cp:lastModifiedBy>
  <dcterms:modified xsi:type="dcterms:W3CDTF">2025-07-01T05:53:55Z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755A870D4B4048E393C0A189AA105A0D</vt:lpwstr>
  </property>
  <property fmtid="{D5CDD505-2E9C-101B-9397-08002B2CF9AE}" pid="4" name="KSOTemplateDocerSaveRecord">
    <vt:lpwstr>eyJoZGlkIjoiYzE4YThmYWYzYzNlMWM5MThlODNmMzM2N2Q2NWY2YWYiLCJ1c2VySWQiOiI1MDY4NDQzMjUifQ==</vt:lpwstr>
  </property>
</Properties>
</file>