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F552D">
      <w:pPr>
        <w:pStyle w:val="10"/>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合理用药系统维保项目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69364A8D">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吴江区中医医院合理用药系统维保项目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45876537">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3F9F40C8">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合理用药系统维保项目</w:t>
      </w:r>
      <w:r>
        <w:rPr>
          <w:rFonts w:hint="eastAsia" w:ascii="微软雅黑" w:hAnsi="微软雅黑" w:eastAsia="微软雅黑" w:cs="微软雅黑"/>
          <w:shd w:val="clear" w:color="auto" w:fill="FFFFFF"/>
        </w:rPr>
        <w:t>。</w:t>
      </w:r>
    </w:p>
    <w:p w14:paraId="37B489B3">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7CB4DA7C">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对合理用药系统进行维保。</w:t>
      </w:r>
    </w:p>
    <w:p w14:paraId="269998F6">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3192AC3F">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6468F060">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6C6F22F7">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2AAF2DDD">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4CC0C10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0C1438BA">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6AF1D3BB">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0EB48EAD">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6-9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6-13</w:t>
      </w:r>
    </w:p>
    <w:p w14:paraId="3B8C9F4D">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6-13 16：</w:t>
      </w:r>
      <w:r>
        <w:rPr>
          <w:rFonts w:hint="eastAsia" w:ascii="微软雅黑" w:hAnsi="微软雅黑" w:eastAsia="微软雅黑" w:cs="微软雅黑"/>
          <w:shd w:val="clear" w:color="auto" w:fill="FFFFFF"/>
        </w:rPr>
        <w:t>00 </w:t>
      </w:r>
    </w:p>
    <w:p w14:paraId="01B1D31D">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530846EF">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86B327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1C2DAA73">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13262B74">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2E545D7E">
      <w:pPr>
        <w:pStyle w:val="5"/>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1E78CF5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64017749">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19668DC4">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0C53124">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597B2E28">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347380E">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7004DB24">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4E024908">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273F4C32">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1262D30B">
      <w:pPr>
        <w:pStyle w:val="5"/>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1935F0C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17786BA0">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6A0FA3D">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45AEA825">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7E731C0F">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4411382">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63696C07">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62900306">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9</w:t>
      </w:r>
      <w:r>
        <w:rPr>
          <w:rFonts w:hint="eastAsia" w:ascii="微软雅黑" w:hAnsi="微软雅黑" w:eastAsia="微软雅黑" w:cs="微软雅黑"/>
          <w:shd w:val="clear" w:color="auto" w:fill="FFFFFF"/>
        </w:rPr>
        <w:t>日</w:t>
      </w:r>
    </w:p>
    <w:p w14:paraId="3930506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7589AC">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bookmarkStart w:id="0" w:name="_GoBack"/>
      <w:bookmarkEnd w:id="0"/>
    </w:p>
    <w:p w14:paraId="4E06CE8F">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C2411C0">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56A9EF4">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3547117">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4A3A781">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D594B12">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19A5611">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016B7D">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F79FF7">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709A9A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C85664C">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6734A18">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A5F8CEC">
      <w:pPr>
        <w:pStyle w:val="10"/>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66294898">
      <w:pPr>
        <w:pStyle w:val="10"/>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1"/>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2E4634D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C32D9FD">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51184227">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71721C4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932FEAE">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0C331C4B">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AA60AFA">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8186F64">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049B878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7C7EF97E">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4CDFD2B9">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73EFB63E">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EF2495C">
            <w:pPr>
              <w:rPr>
                <w:rFonts w:ascii="微软雅黑" w:hAnsi="微软雅黑" w:eastAsia="微软雅黑" w:cs="微软雅黑"/>
                <w:color w:val="333333"/>
                <w:sz w:val="24"/>
              </w:rPr>
            </w:pPr>
          </w:p>
        </w:tc>
      </w:tr>
      <w:tr w14:paraId="747627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3A210F65">
            <w:pPr>
              <w:pStyle w:val="10"/>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7EE6A3D3">
            <w:pPr>
              <w:rPr>
                <w:rFonts w:ascii="微软雅黑" w:hAnsi="微软雅黑" w:eastAsia="微软雅黑" w:cs="微软雅黑"/>
                <w:color w:val="333333"/>
                <w:sz w:val="24"/>
              </w:rPr>
            </w:pPr>
          </w:p>
        </w:tc>
      </w:tr>
    </w:tbl>
    <w:p w14:paraId="001CFBC3">
      <w:pPr>
        <w:pStyle w:val="6"/>
        <w:ind w:left="0" w:leftChars="0" w:firstLine="0" w:firstLineChars="0"/>
      </w:pPr>
    </w:p>
    <w:p w14:paraId="1BC6EF92">
      <w:pPr>
        <w:pStyle w:val="6"/>
        <w:ind w:left="0" w:leftChars="0" w:firstLine="0" w:firstLineChars="0"/>
      </w:pPr>
    </w:p>
    <w:p w14:paraId="239E4E7C">
      <w:pPr>
        <w:pStyle w:val="6"/>
        <w:ind w:left="0" w:leftChars="0" w:firstLine="0" w:firstLineChars="0"/>
      </w:pPr>
    </w:p>
    <w:p w14:paraId="662C7015">
      <w:pPr>
        <w:pStyle w:val="6"/>
        <w:ind w:left="0" w:leftChars="0" w:firstLine="0" w:firstLineChars="0"/>
      </w:pPr>
    </w:p>
    <w:p w14:paraId="39594A5D">
      <w:pPr>
        <w:pStyle w:val="6"/>
        <w:ind w:left="0" w:leftChars="0" w:firstLine="0" w:firstLineChars="0"/>
      </w:pPr>
    </w:p>
    <w:p w14:paraId="0AF12BB8">
      <w:pPr>
        <w:pStyle w:val="6"/>
        <w:ind w:left="0" w:leftChars="0" w:firstLine="0" w:firstLineChars="0"/>
      </w:pPr>
    </w:p>
    <w:p w14:paraId="036796AD">
      <w:pPr>
        <w:pStyle w:val="6"/>
        <w:ind w:left="0" w:leftChars="0" w:firstLine="0" w:firstLineChars="0"/>
      </w:pPr>
    </w:p>
    <w:p w14:paraId="3A3300C9">
      <w:pPr>
        <w:pStyle w:val="6"/>
        <w:ind w:left="0" w:leftChars="0" w:firstLine="0" w:firstLineChars="0"/>
      </w:pPr>
    </w:p>
    <w:p w14:paraId="62DAA380">
      <w:pPr>
        <w:pStyle w:val="6"/>
        <w:ind w:left="0" w:leftChars="0" w:firstLine="0" w:firstLineChars="0"/>
      </w:pPr>
    </w:p>
    <w:p w14:paraId="5D3972D2">
      <w:pPr>
        <w:pStyle w:val="6"/>
        <w:ind w:left="0" w:leftChars="0" w:firstLine="0" w:firstLineChars="0"/>
      </w:pPr>
    </w:p>
    <w:p w14:paraId="3F04C873">
      <w:pPr>
        <w:pStyle w:val="6"/>
        <w:ind w:left="0" w:leftChars="0" w:firstLine="0" w:firstLineChars="0"/>
      </w:pPr>
    </w:p>
    <w:p w14:paraId="34CE3E55">
      <w:pPr>
        <w:pStyle w:val="6"/>
        <w:ind w:left="0" w:leftChars="0" w:firstLine="0" w:firstLineChars="0"/>
      </w:pPr>
    </w:p>
    <w:p w14:paraId="132CBB60">
      <w:pPr>
        <w:pStyle w:val="6"/>
        <w:ind w:left="0" w:leftChars="0" w:firstLine="0" w:firstLineChars="0"/>
      </w:pPr>
    </w:p>
    <w:p w14:paraId="7B5C5FDD">
      <w:pPr>
        <w:pStyle w:val="6"/>
        <w:ind w:left="0" w:leftChars="0" w:firstLine="0" w:firstLineChars="0"/>
      </w:pPr>
    </w:p>
    <w:p w14:paraId="3DA9CCAB">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05B8CD9">
      <w:pPr>
        <w:rPr>
          <w:b/>
        </w:rPr>
      </w:pPr>
    </w:p>
    <w:p w14:paraId="0A61DC95">
      <w:pPr>
        <w:jc w:val="center"/>
        <w:rPr>
          <w:b/>
          <w:sz w:val="36"/>
          <w:szCs w:val="36"/>
        </w:rPr>
      </w:pPr>
      <w:r>
        <w:rPr>
          <w:rFonts w:hint="eastAsia"/>
          <w:b/>
          <w:sz w:val="36"/>
          <w:szCs w:val="36"/>
        </w:rPr>
        <w:t>法定代表人授权委托书</w:t>
      </w:r>
    </w:p>
    <w:p w14:paraId="0BA14726">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2FB25CCE">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9BB6432">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21A57088">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13FC1D96">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6BAB0579">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1EBBE9E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EF644BB">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0F486AD6">
      <w:pPr>
        <w:pStyle w:val="6"/>
        <w:ind w:left="0" w:leftChars="0" w:firstLine="0" w:firstLineChars="0"/>
      </w:pPr>
    </w:p>
    <w:p w14:paraId="6269E9FD">
      <w:pPr>
        <w:pStyle w:val="6"/>
        <w:ind w:left="0" w:leftChars="0" w:firstLine="0" w:firstLineChars="0"/>
      </w:pPr>
    </w:p>
    <w:p w14:paraId="194D2001">
      <w:pPr>
        <w:pStyle w:val="6"/>
        <w:ind w:left="0" w:leftChars="0" w:firstLine="0" w:firstLineChars="0"/>
      </w:pPr>
    </w:p>
    <w:p w14:paraId="0A22785B">
      <w:pPr>
        <w:pStyle w:val="6"/>
        <w:ind w:left="0" w:leftChars="0" w:firstLine="0" w:firstLineChars="0"/>
      </w:pPr>
    </w:p>
    <w:p w14:paraId="16B3F2AF">
      <w:pPr>
        <w:pStyle w:val="6"/>
        <w:ind w:left="0" w:leftChars="0" w:firstLine="0" w:firstLineChars="0"/>
      </w:pPr>
    </w:p>
    <w:p w14:paraId="6BDCB1C6">
      <w:pPr>
        <w:pStyle w:val="6"/>
        <w:ind w:left="0" w:leftChars="0" w:firstLine="0" w:firstLineChars="0"/>
      </w:pPr>
    </w:p>
    <w:p w14:paraId="7F3E8B2A">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252A928F">
      <w:pPr>
        <w:jc w:val="center"/>
        <w:rPr>
          <w:rFonts w:eastAsia="黑体"/>
          <w:b/>
          <w:sz w:val="32"/>
          <w:szCs w:val="32"/>
        </w:rPr>
      </w:pPr>
      <w:r>
        <w:rPr>
          <w:rFonts w:hint="eastAsia" w:eastAsia="黑体"/>
          <w:b/>
          <w:sz w:val="32"/>
          <w:szCs w:val="32"/>
        </w:rPr>
        <w:t>采购需求</w:t>
      </w:r>
    </w:p>
    <w:p w14:paraId="09CE0B9A">
      <w:pPr>
        <w:pStyle w:val="9"/>
        <w:spacing w:line="400" w:lineRule="exact"/>
        <w:ind w:firstLine="420"/>
        <w:rPr>
          <w:rFonts w:hint="eastAsia"/>
          <w:color w:val="000000"/>
          <w:sz w:val="21"/>
          <w:lang w:val="en-US" w:eastAsia="zh-CN"/>
        </w:rPr>
      </w:pPr>
      <w:r>
        <w:rPr>
          <w:rFonts w:hint="eastAsia"/>
          <w:color w:val="000000"/>
          <w:sz w:val="21"/>
          <w:lang w:val="en-US" w:eastAsia="zh-CN"/>
        </w:rPr>
        <w:t>一.采购预算：人民币贰万伍仟圆整（￥25000.00）</w:t>
      </w:r>
    </w:p>
    <w:p w14:paraId="16E03434">
      <w:pPr>
        <w:spacing w:line="360" w:lineRule="auto"/>
        <w:ind w:firstLine="420" w:firstLineChars="200"/>
        <w:jc w:val="left"/>
        <w:rPr>
          <w:rFonts w:hint="default" w:ascii="宋体" w:hAnsi="宋体" w:eastAsia="宋体" w:cs="仿宋"/>
          <w:b/>
          <w:bCs/>
          <w:color w:val="000000"/>
          <w:sz w:val="32"/>
          <w:szCs w:val="32"/>
          <w:lang w:val="en-US" w:eastAsia="zh-CN"/>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tbl>
      <w:tblPr>
        <w:tblStyle w:val="11"/>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29"/>
        <w:gridCol w:w="4432"/>
        <w:gridCol w:w="1522"/>
      </w:tblGrid>
      <w:tr w14:paraId="4686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80" w:type="dxa"/>
            <w:noWrap w:val="0"/>
            <w:vAlign w:val="center"/>
          </w:tcPr>
          <w:p w14:paraId="06C533C7">
            <w:pPr>
              <w:spacing w:line="300" w:lineRule="exact"/>
              <w:jc w:val="center"/>
              <w:rPr>
                <w:rFonts w:hint="eastAsia" w:ascii="宋体" w:hAnsi="宋体" w:eastAsia="宋体"/>
                <w:b/>
                <w:color w:val="000000"/>
                <w:szCs w:val="21"/>
                <w:lang w:val="en-US" w:eastAsia="zh-CN"/>
              </w:rPr>
            </w:pPr>
            <w:r>
              <w:rPr>
                <w:rFonts w:hint="eastAsia" w:ascii="宋体" w:hAnsi="宋体"/>
                <w:b/>
                <w:color w:val="000000"/>
                <w:szCs w:val="21"/>
                <w:lang w:val="en-US" w:eastAsia="zh-CN"/>
              </w:rPr>
              <w:t>序号</w:t>
            </w:r>
          </w:p>
        </w:tc>
        <w:tc>
          <w:tcPr>
            <w:tcW w:w="1129" w:type="dxa"/>
            <w:noWrap w:val="0"/>
            <w:vAlign w:val="center"/>
          </w:tcPr>
          <w:p w14:paraId="5AF473FE">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参数名称</w:t>
            </w:r>
          </w:p>
        </w:tc>
        <w:tc>
          <w:tcPr>
            <w:tcW w:w="4432" w:type="dxa"/>
            <w:noWrap w:val="0"/>
            <w:vAlign w:val="center"/>
          </w:tcPr>
          <w:p w14:paraId="71A0F323">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详细说明</w:t>
            </w:r>
          </w:p>
        </w:tc>
        <w:tc>
          <w:tcPr>
            <w:tcW w:w="1522" w:type="dxa"/>
            <w:noWrap w:val="0"/>
            <w:vAlign w:val="center"/>
          </w:tcPr>
          <w:p w14:paraId="3C4C662E">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是否偏离</w:t>
            </w:r>
          </w:p>
        </w:tc>
      </w:tr>
      <w:tr w14:paraId="5C3FE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680" w:type="dxa"/>
            <w:noWrap w:val="0"/>
            <w:vAlign w:val="center"/>
          </w:tcPr>
          <w:p w14:paraId="5AC847B9">
            <w:pPr>
              <w:spacing w:line="300" w:lineRule="exact"/>
              <w:jc w:val="center"/>
              <w:rPr>
                <w:rFonts w:ascii="宋体" w:hAnsi="宋体"/>
                <w:b/>
                <w:color w:val="000000"/>
                <w:sz w:val="21"/>
                <w:szCs w:val="21"/>
              </w:rPr>
            </w:pPr>
            <w:r>
              <w:rPr>
                <w:rFonts w:hint="eastAsia" w:ascii="宋体" w:hAnsi="宋体"/>
                <w:color w:val="000000"/>
                <w:sz w:val="21"/>
                <w:szCs w:val="21"/>
              </w:rPr>
              <w:t>01</w:t>
            </w:r>
          </w:p>
        </w:tc>
        <w:tc>
          <w:tcPr>
            <w:tcW w:w="1129" w:type="dxa"/>
            <w:noWrap w:val="0"/>
            <w:vAlign w:val="center"/>
          </w:tcPr>
          <w:p w14:paraId="25DCC949">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处方（医嘱）用药审查功能</w:t>
            </w:r>
          </w:p>
        </w:tc>
        <w:tc>
          <w:tcPr>
            <w:tcW w:w="4432" w:type="dxa"/>
            <w:noWrap w:val="0"/>
            <w:vAlign w:val="center"/>
          </w:tcPr>
          <w:p w14:paraId="3649CA48">
            <w:pPr>
              <w:keepNext w:val="0"/>
              <w:keepLines w:val="0"/>
              <w:pageBreakBefore w:val="0"/>
              <w:widowControl/>
              <w:kinsoku/>
              <w:wordWrap/>
              <w:overflowPunct/>
              <w:topLinePunct w:val="0"/>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t>系统应能对处方（医嘱）用药进行剂量审查、累积剂量审查、超多日用量审查、给药途径审查、相互作用审查、体外注射剂配伍审查、配伍浓度审查、钾离子监测、TPN处方审查、门诊输液审查、禁忌症审查、不良反应审查、特殊人群（儿童、成人、老人、妊娠、哺乳、性别）用药审查、重复用药（重复成分、重复治疗）审查、药物过敏审查、药物检验值审查、规范性审查、医保审查、监测指标审查，并提示医生。</w:t>
            </w:r>
          </w:p>
          <w:p w14:paraId="6F335230">
            <w:pPr>
              <w:pStyle w:val="21"/>
              <w:keepNext w:val="0"/>
              <w:keepLines w:val="0"/>
              <w:pageBreakBefore w:val="0"/>
              <w:widowControl/>
              <w:numPr>
                <w:ilvl w:val="1"/>
                <w:numId w:val="2"/>
              </w:numPr>
              <w:kinsoku/>
              <w:wordWrap/>
              <w:overflowPunct/>
              <w:topLinePunct w:val="0"/>
              <w:bidi w:val="0"/>
              <w:adjustRightInd/>
              <w:snapToGrid/>
              <w:spacing w:line="400" w:lineRule="exact"/>
              <w:ind w:firstLine="0" w:firstLineChars="0"/>
              <w:jc w:val="both"/>
              <w:textAlignment w:val="auto"/>
              <w:rPr>
                <w:rFonts w:hint="eastAsia" w:ascii="宋体" w:hAnsi="宋体" w:eastAsia="宋体" w:cs="宋体"/>
                <w:sz w:val="21"/>
                <w:szCs w:val="21"/>
              </w:rPr>
            </w:pPr>
            <w:r>
              <w:rPr>
                <w:rFonts w:hint="eastAsia" w:ascii="宋体" w:hAnsi="宋体" w:eastAsia="宋体" w:cs="宋体"/>
                <w:sz w:val="21"/>
                <w:szCs w:val="21"/>
              </w:rPr>
              <w:t>住院医嘱支持用药天数预警。</w:t>
            </w:r>
          </w:p>
          <w:p w14:paraId="61227F74">
            <w:pPr>
              <w:pStyle w:val="21"/>
              <w:keepNext w:val="0"/>
              <w:keepLines w:val="0"/>
              <w:pageBreakBefore w:val="0"/>
              <w:widowControl/>
              <w:numPr>
                <w:ilvl w:val="1"/>
                <w:numId w:val="2"/>
              </w:numPr>
              <w:kinsoku/>
              <w:wordWrap/>
              <w:overflowPunct/>
              <w:topLinePunct w:val="0"/>
              <w:bidi w:val="0"/>
              <w:adjustRightInd/>
              <w:snapToGrid/>
              <w:spacing w:line="400" w:lineRule="exact"/>
              <w:ind w:firstLine="0" w:firstLineChars="0"/>
              <w:jc w:val="both"/>
              <w:textAlignment w:val="auto"/>
              <w:rPr>
                <w:rFonts w:hint="eastAsia" w:ascii="宋体" w:hAnsi="宋体" w:eastAsia="宋体" w:cs="宋体"/>
                <w:sz w:val="21"/>
                <w:szCs w:val="21"/>
              </w:rPr>
            </w:pPr>
            <w:r>
              <w:rPr>
                <w:rFonts w:hint="eastAsia" w:ascii="宋体" w:hAnsi="宋体" w:eastAsia="宋体" w:cs="宋体"/>
                <w:sz w:val="21"/>
                <w:szCs w:val="21"/>
              </w:rPr>
              <w:t>超多日用量审查可管控提前取药患者药量累计持有天数。</w:t>
            </w:r>
          </w:p>
          <w:p w14:paraId="771572FC">
            <w:pPr>
              <w:pStyle w:val="21"/>
              <w:keepNext w:val="0"/>
              <w:keepLines w:val="0"/>
              <w:pageBreakBefore w:val="0"/>
              <w:numPr>
                <w:ilvl w:val="1"/>
                <w:numId w:val="2"/>
              </w:numPr>
              <w:kinsoku/>
              <w:wordWrap/>
              <w:overflowPunct/>
              <w:topLinePunct w:val="0"/>
              <w:bidi w:val="0"/>
              <w:adjustRightInd/>
              <w:snapToGrid/>
              <w:spacing w:line="400" w:lineRule="exact"/>
              <w:ind w:firstLine="0" w:firstLineChars="0"/>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▲可为医生提供TPN处方的营养均衡性、肠外营养浓度、溶液中渗透压浓度计算功能。</w:t>
            </w:r>
          </w:p>
        </w:tc>
        <w:tc>
          <w:tcPr>
            <w:tcW w:w="1522" w:type="dxa"/>
            <w:noWrap w:val="0"/>
            <w:vAlign w:val="center"/>
          </w:tcPr>
          <w:p w14:paraId="6CCC16A2">
            <w:pPr>
              <w:spacing w:line="300" w:lineRule="exact"/>
              <w:jc w:val="left"/>
              <w:rPr>
                <w:rFonts w:ascii="宋体" w:hAnsi="宋体"/>
                <w:b/>
                <w:color w:val="000000"/>
                <w:szCs w:val="21"/>
              </w:rPr>
            </w:pPr>
          </w:p>
        </w:tc>
      </w:tr>
      <w:tr w14:paraId="1956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80" w:type="dxa"/>
            <w:noWrap w:val="0"/>
            <w:vAlign w:val="center"/>
          </w:tcPr>
          <w:p w14:paraId="1355DB96">
            <w:pPr>
              <w:spacing w:line="300" w:lineRule="exact"/>
              <w:jc w:val="center"/>
              <w:rPr>
                <w:rFonts w:ascii="宋体" w:hAnsi="宋体"/>
                <w:color w:val="000000"/>
                <w:sz w:val="21"/>
                <w:szCs w:val="21"/>
              </w:rPr>
            </w:pPr>
            <w:r>
              <w:rPr>
                <w:rFonts w:hint="eastAsia" w:ascii="宋体" w:hAnsi="宋体"/>
                <w:color w:val="000000"/>
                <w:sz w:val="21"/>
                <w:szCs w:val="21"/>
              </w:rPr>
              <w:t>02</w:t>
            </w:r>
          </w:p>
        </w:tc>
        <w:tc>
          <w:tcPr>
            <w:tcW w:w="1129" w:type="dxa"/>
            <w:noWrap w:val="0"/>
            <w:vAlign w:val="center"/>
          </w:tcPr>
          <w:p w14:paraId="6FEAA177">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药品信息提示功能</w:t>
            </w:r>
          </w:p>
        </w:tc>
        <w:tc>
          <w:tcPr>
            <w:tcW w:w="4432" w:type="dxa"/>
            <w:noWrap w:val="0"/>
            <w:vAlign w:val="center"/>
          </w:tcPr>
          <w:p w14:paraId="08203D95">
            <w:pPr>
              <w:pStyle w:val="3"/>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b w:val="0"/>
                <w:bCs w:val="0"/>
                <w:kern w:val="2"/>
                <w:sz w:val="21"/>
                <w:szCs w:val="21"/>
                <w:lang w:val="zh-CN" w:eastAsia="zh-CN" w:bidi="ar-SA"/>
              </w:rPr>
            </w:pPr>
            <w:r>
              <w:rPr>
                <w:rFonts w:hint="eastAsia" w:ascii="宋体" w:hAnsi="宋体" w:eastAsia="宋体" w:cs="宋体"/>
                <w:b w:val="0"/>
                <w:bCs w:val="0"/>
                <w:sz w:val="21"/>
                <w:szCs w:val="21"/>
              </w:rPr>
              <w:t>可快捷查看药品相关重要信息；药品厂家说明书，▲并可查看药监局发布的说明书修订勘误，修改和新增药品说明书内容；查询相应药品的中药材专论信息。</w:t>
            </w:r>
          </w:p>
        </w:tc>
        <w:tc>
          <w:tcPr>
            <w:tcW w:w="1522" w:type="dxa"/>
            <w:noWrap w:val="0"/>
            <w:vAlign w:val="center"/>
          </w:tcPr>
          <w:p w14:paraId="6253042F">
            <w:pPr>
              <w:autoSpaceDE w:val="0"/>
              <w:autoSpaceDN w:val="0"/>
              <w:adjustRightInd w:val="0"/>
              <w:spacing w:line="300" w:lineRule="exact"/>
              <w:jc w:val="left"/>
              <w:rPr>
                <w:rFonts w:ascii="宋体" w:hAnsi="宋体"/>
                <w:color w:val="000000"/>
                <w:kern w:val="0"/>
                <w:szCs w:val="21"/>
                <w:lang w:val="zh-CN"/>
              </w:rPr>
            </w:pPr>
          </w:p>
        </w:tc>
      </w:tr>
      <w:tr w14:paraId="4F8C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680" w:type="dxa"/>
            <w:noWrap w:val="0"/>
            <w:vAlign w:val="center"/>
          </w:tcPr>
          <w:p w14:paraId="2554CADE">
            <w:pPr>
              <w:spacing w:line="300" w:lineRule="exact"/>
              <w:jc w:val="center"/>
              <w:rPr>
                <w:rFonts w:hint="eastAsia" w:ascii="宋体" w:hAnsi="宋体" w:eastAsiaTheme="minorEastAsia"/>
                <w:color w:val="000000"/>
                <w:sz w:val="21"/>
                <w:szCs w:val="21"/>
                <w:lang w:val="en-US" w:eastAsia="zh-CN"/>
              </w:rPr>
            </w:pPr>
            <w:r>
              <w:rPr>
                <w:rFonts w:hint="eastAsia" w:ascii="宋体" w:hAnsi="宋体"/>
                <w:color w:val="000000"/>
                <w:sz w:val="21"/>
                <w:szCs w:val="21"/>
              </w:rPr>
              <w:t>0</w:t>
            </w:r>
            <w:r>
              <w:rPr>
                <w:rFonts w:hint="eastAsia" w:ascii="宋体" w:hAnsi="宋体"/>
                <w:color w:val="000000"/>
                <w:sz w:val="21"/>
                <w:szCs w:val="21"/>
                <w:lang w:val="en-US" w:eastAsia="zh-CN"/>
              </w:rPr>
              <w:t>3</w:t>
            </w:r>
          </w:p>
        </w:tc>
        <w:tc>
          <w:tcPr>
            <w:tcW w:w="1129" w:type="dxa"/>
            <w:noWrap w:val="0"/>
            <w:vAlign w:val="center"/>
          </w:tcPr>
          <w:p w14:paraId="222FEDC0">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协定方专项管控</w:t>
            </w:r>
          </w:p>
        </w:tc>
        <w:tc>
          <w:tcPr>
            <w:tcW w:w="4432" w:type="dxa"/>
            <w:noWrap w:val="0"/>
            <w:vAlign w:val="center"/>
          </w:tcPr>
          <w:p w14:paraId="56E39D40">
            <w:pPr>
              <w:pStyle w:val="3"/>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rPr>
              <w:t>系统提供医院中药协定方证型适宜性审查。</w:t>
            </w:r>
          </w:p>
        </w:tc>
        <w:tc>
          <w:tcPr>
            <w:tcW w:w="1522" w:type="dxa"/>
            <w:noWrap w:val="0"/>
            <w:vAlign w:val="center"/>
          </w:tcPr>
          <w:p w14:paraId="0794B9B0">
            <w:pPr>
              <w:spacing w:line="300" w:lineRule="exact"/>
              <w:jc w:val="left"/>
              <w:rPr>
                <w:rFonts w:ascii="宋体" w:hAnsi="宋体"/>
                <w:color w:val="000000"/>
                <w:szCs w:val="21"/>
              </w:rPr>
            </w:pPr>
          </w:p>
        </w:tc>
      </w:tr>
      <w:tr w14:paraId="75AB0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11F24865">
            <w:pPr>
              <w:spacing w:line="300" w:lineRule="exact"/>
              <w:jc w:val="center"/>
              <w:rPr>
                <w:rFonts w:hint="eastAsia" w:ascii="宋体" w:hAnsi="宋体" w:eastAsiaTheme="minorEastAsia"/>
                <w:color w:val="000000"/>
                <w:sz w:val="21"/>
                <w:szCs w:val="21"/>
                <w:lang w:eastAsia="zh-CN"/>
              </w:rPr>
            </w:pPr>
            <w:r>
              <w:rPr>
                <w:rFonts w:hint="eastAsia" w:ascii="宋体" w:hAnsi="宋体"/>
                <w:color w:val="000000"/>
                <w:sz w:val="21"/>
                <w:szCs w:val="21"/>
              </w:rPr>
              <w:t>0</w:t>
            </w:r>
            <w:r>
              <w:rPr>
                <w:rFonts w:hint="eastAsia" w:ascii="宋体" w:hAnsi="宋体"/>
                <w:color w:val="000000"/>
                <w:sz w:val="21"/>
                <w:szCs w:val="21"/>
                <w:lang w:val="en-US" w:eastAsia="zh-CN"/>
              </w:rPr>
              <w:t>4</w:t>
            </w:r>
          </w:p>
        </w:tc>
        <w:tc>
          <w:tcPr>
            <w:tcW w:w="1129" w:type="dxa"/>
            <w:noWrap w:val="0"/>
            <w:vAlign w:val="center"/>
          </w:tcPr>
          <w:p w14:paraId="6C1E87DA">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审查提示屏蔽功能</w:t>
            </w:r>
          </w:p>
        </w:tc>
        <w:tc>
          <w:tcPr>
            <w:tcW w:w="4432" w:type="dxa"/>
            <w:noWrap w:val="0"/>
            <w:vAlign w:val="center"/>
          </w:tcPr>
          <w:p w14:paraId="326C61C9">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rPr>
              <w:t>▲系统应能对剂量、给药途径、药物相互作用、体外注射剂配伍、配伍浓度、禁忌症、不良反应、儿童用药、老人用药、成人用药、性别用药、妊娠期用药、哺乳期用药、药物过敏、重复用药等审查项目进行审查提示屏蔽，支持分门诊、住院、急诊屏蔽，屏蔽后不再对相同问题进行提示。</w:t>
            </w:r>
          </w:p>
        </w:tc>
        <w:tc>
          <w:tcPr>
            <w:tcW w:w="1522" w:type="dxa"/>
            <w:noWrap w:val="0"/>
            <w:vAlign w:val="center"/>
          </w:tcPr>
          <w:p w14:paraId="2E56DD27">
            <w:pPr>
              <w:spacing w:line="300" w:lineRule="exact"/>
              <w:rPr>
                <w:rFonts w:ascii="宋体" w:hAnsi="宋体"/>
                <w:b/>
                <w:color w:val="000000"/>
                <w:szCs w:val="21"/>
              </w:rPr>
            </w:pPr>
          </w:p>
        </w:tc>
      </w:tr>
      <w:tr w14:paraId="6E48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4A000112">
            <w:pPr>
              <w:spacing w:line="300" w:lineRule="exact"/>
              <w:jc w:val="center"/>
              <w:rPr>
                <w:rFonts w:hint="eastAsia" w:ascii="宋体" w:hAnsi="宋体" w:eastAsiaTheme="minorEastAsia"/>
                <w:color w:val="000000"/>
                <w:sz w:val="21"/>
                <w:szCs w:val="21"/>
                <w:lang w:eastAsia="zh-CN"/>
              </w:rPr>
            </w:pPr>
            <w:r>
              <w:rPr>
                <w:rFonts w:hint="eastAsia" w:ascii="宋体" w:hAnsi="宋体"/>
                <w:color w:val="000000"/>
                <w:sz w:val="21"/>
                <w:szCs w:val="21"/>
              </w:rPr>
              <w:t>0</w:t>
            </w:r>
            <w:r>
              <w:rPr>
                <w:rFonts w:hint="eastAsia" w:ascii="宋体" w:hAnsi="宋体"/>
                <w:color w:val="000000"/>
                <w:sz w:val="21"/>
                <w:szCs w:val="21"/>
                <w:lang w:val="en-US" w:eastAsia="zh-CN"/>
              </w:rPr>
              <w:t>5</w:t>
            </w:r>
          </w:p>
        </w:tc>
        <w:tc>
          <w:tcPr>
            <w:tcW w:w="1129" w:type="dxa"/>
            <w:noWrap w:val="0"/>
            <w:vAlign w:val="center"/>
          </w:tcPr>
          <w:p w14:paraId="439F426B">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审查规则自定义功能（医院专家知识库）</w:t>
            </w:r>
          </w:p>
        </w:tc>
        <w:tc>
          <w:tcPr>
            <w:tcW w:w="4432" w:type="dxa"/>
            <w:noWrap w:val="0"/>
            <w:vAlign w:val="center"/>
          </w:tcPr>
          <w:p w14:paraId="7E014465">
            <w:pPr>
              <w:pStyle w:val="21"/>
              <w:keepNext w:val="0"/>
              <w:keepLines w:val="0"/>
              <w:pageBreakBefore w:val="0"/>
              <w:numPr>
                <w:ilvl w:val="0"/>
                <w:numId w:val="0"/>
              </w:numPr>
              <w:kinsoku/>
              <w:wordWrap/>
              <w:overflowPunct/>
              <w:topLinePunct w:val="0"/>
              <w:bidi w:val="0"/>
              <w:adjustRightInd/>
              <w:snapToGrid/>
              <w:spacing w:line="400" w:lineRule="exact"/>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5.1</w:t>
            </w:r>
            <w:r>
              <w:rPr>
                <w:rFonts w:hint="eastAsia" w:ascii="宋体" w:hAnsi="宋体" w:eastAsia="宋体" w:cs="宋体"/>
                <w:bCs/>
                <w:sz w:val="21"/>
                <w:szCs w:val="21"/>
              </w:rPr>
              <w:t>▲系统可以提供多种自定义方式：</w:t>
            </w:r>
          </w:p>
          <w:p w14:paraId="2E16E633">
            <w:pPr>
              <w:keepNext w:val="0"/>
              <w:keepLines w:val="0"/>
              <w:pageBreakBefore w:val="0"/>
              <w:kinsoku/>
              <w:wordWrap/>
              <w:overflowPunct/>
              <w:topLinePunct w:val="0"/>
              <w:bidi w:val="0"/>
              <w:adjustRightInd/>
              <w:snapToGrid/>
              <w:spacing w:line="400" w:lineRule="exact"/>
              <w:ind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（1）基于系统审查数据自定义方式，节省药师工作量；</w:t>
            </w:r>
          </w:p>
          <w:p w14:paraId="2BCBEDD4">
            <w:pPr>
              <w:keepNext w:val="0"/>
              <w:keepLines w:val="0"/>
              <w:pageBreakBefore w:val="0"/>
              <w:kinsoku/>
              <w:wordWrap/>
              <w:overflowPunct/>
              <w:topLinePunct w:val="0"/>
              <w:bidi w:val="0"/>
              <w:adjustRightInd/>
              <w:snapToGrid/>
              <w:spacing w:line="400" w:lineRule="exact"/>
              <w:ind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（2）可完全由用户新建审查规则包括审查要素和审查逻辑。</w:t>
            </w:r>
          </w:p>
          <w:p w14:paraId="1282F232">
            <w:pPr>
              <w:pStyle w:val="21"/>
              <w:keepNext w:val="0"/>
              <w:keepLines w:val="0"/>
              <w:pageBreakBefore w:val="0"/>
              <w:numPr>
                <w:ilvl w:val="0"/>
                <w:numId w:val="0"/>
              </w:numPr>
              <w:kinsoku/>
              <w:wordWrap/>
              <w:overflowPunct/>
              <w:topLinePunct w:val="0"/>
              <w:bidi w:val="0"/>
              <w:adjustRightInd/>
              <w:snapToGrid/>
              <w:spacing w:line="400" w:lineRule="exact"/>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5.2</w:t>
            </w:r>
            <w:r>
              <w:rPr>
                <w:rFonts w:hint="eastAsia" w:ascii="宋体" w:hAnsi="宋体" w:eastAsia="宋体" w:cs="宋体"/>
                <w:bCs/>
                <w:sz w:val="21"/>
                <w:szCs w:val="21"/>
              </w:rPr>
              <w:t>用户可自定义药品警示、拦截规则，被拦截的问题处方必须返回修改，否则不可进行下一步操作。用户可设置已执行的长期医嘱是否拦截。</w:t>
            </w:r>
          </w:p>
          <w:p w14:paraId="61330F27">
            <w:pPr>
              <w:pStyle w:val="21"/>
              <w:keepNext w:val="0"/>
              <w:keepLines w:val="0"/>
              <w:pageBreakBefore w:val="0"/>
              <w:numPr>
                <w:ilvl w:val="0"/>
                <w:numId w:val="0"/>
              </w:numPr>
              <w:kinsoku/>
              <w:wordWrap/>
              <w:overflowPunct/>
              <w:topLinePunct w:val="0"/>
              <w:bidi w:val="0"/>
              <w:adjustRightInd/>
              <w:snapToGrid/>
              <w:spacing w:line="400" w:lineRule="exact"/>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5.3</w:t>
            </w:r>
            <w:r>
              <w:rPr>
                <w:rFonts w:hint="eastAsia" w:ascii="宋体" w:hAnsi="宋体" w:eastAsia="宋体" w:cs="宋体"/>
                <w:bCs/>
                <w:sz w:val="21"/>
                <w:szCs w:val="21"/>
              </w:rPr>
              <w:t>规则复制功能：系统支持将其它药品已有的自定义规则分模块复制到被选择的药品上。</w:t>
            </w:r>
          </w:p>
          <w:p w14:paraId="29FE3663">
            <w:pPr>
              <w:pStyle w:val="21"/>
              <w:keepNext w:val="0"/>
              <w:keepLines w:val="0"/>
              <w:pageBreakBefore w:val="0"/>
              <w:numPr>
                <w:ilvl w:val="0"/>
                <w:numId w:val="0"/>
              </w:numPr>
              <w:kinsoku/>
              <w:wordWrap/>
              <w:overflowPunct/>
              <w:topLinePunct w:val="0"/>
              <w:bidi w:val="0"/>
              <w:adjustRightInd/>
              <w:snapToGrid/>
              <w:spacing w:line="400" w:lineRule="exact"/>
              <w:jc w:val="both"/>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5.4</w:t>
            </w:r>
            <w:r>
              <w:rPr>
                <w:rFonts w:hint="eastAsia" w:ascii="宋体" w:hAnsi="宋体" w:eastAsia="宋体" w:cs="宋体"/>
                <w:bCs/>
                <w:sz w:val="21"/>
                <w:szCs w:val="21"/>
              </w:rPr>
              <w:t xml:space="preserve">自定义规则查询：可查询药品、科室以及各模块的自定义规则。 </w:t>
            </w:r>
          </w:p>
        </w:tc>
        <w:tc>
          <w:tcPr>
            <w:tcW w:w="1522" w:type="dxa"/>
            <w:noWrap w:val="0"/>
            <w:vAlign w:val="center"/>
          </w:tcPr>
          <w:p w14:paraId="31E685F7">
            <w:pPr>
              <w:spacing w:line="300" w:lineRule="exact"/>
              <w:rPr>
                <w:rFonts w:ascii="宋体" w:hAnsi="宋体"/>
                <w:b/>
                <w:color w:val="000000"/>
                <w:szCs w:val="21"/>
              </w:rPr>
            </w:pPr>
          </w:p>
        </w:tc>
      </w:tr>
      <w:tr w14:paraId="6C1E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trPr>
        <w:tc>
          <w:tcPr>
            <w:tcW w:w="680" w:type="dxa"/>
            <w:noWrap w:val="0"/>
            <w:vAlign w:val="center"/>
          </w:tcPr>
          <w:p w14:paraId="2FC7FD05">
            <w:pPr>
              <w:spacing w:line="300" w:lineRule="exact"/>
              <w:jc w:val="center"/>
              <w:rPr>
                <w:rFonts w:hint="eastAsia" w:ascii="宋体" w:hAnsi="宋体" w:eastAsiaTheme="minorEastAsia"/>
                <w:color w:val="000000"/>
                <w:sz w:val="21"/>
                <w:szCs w:val="21"/>
                <w:lang w:eastAsia="zh-CN"/>
              </w:rPr>
            </w:pPr>
            <w:r>
              <w:rPr>
                <w:rFonts w:hint="eastAsia" w:ascii="宋体" w:hAnsi="宋体"/>
                <w:color w:val="000000"/>
                <w:sz w:val="21"/>
                <w:szCs w:val="21"/>
              </w:rPr>
              <w:t>0</w:t>
            </w:r>
            <w:r>
              <w:rPr>
                <w:rFonts w:hint="eastAsia" w:ascii="宋体" w:hAnsi="宋体"/>
                <w:color w:val="000000"/>
                <w:sz w:val="21"/>
                <w:szCs w:val="21"/>
                <w:lang w:val="en-US" w:eastAsia="zh-CN"/>
              </w:rPr>
              <w:t>6</w:t>
            </w:r>
          </w:p>
        </w:tc>
        <w:tc>
          <w:tcPr>
            <w:tcW w:w="1129" w:type="dxa"/>
            <w:noWrap w:val="0"/>
            <w:vAlign w:val="center"/>
          </w:tcPr>
          <w:p w14:paraId="631B0F91">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统计分析功能</w:t>
            </w:r>
          </w:p>
        </w:tc>
        <w:tc>
          <w:tcPr>
            <w:tcW w:w="4432" w:type="dxa"/>
            <w:noWrap w:val="0"/>
            <w:vAlign w:val="center"/>
          </w:tcPr>
          <w:p w14:paraId="6092AB09">
            <w:pPr>
              <w:pStyle w:val="21"/>
              <w:keepNext w:val="0"/>
              <w:keepLines w:val="0"/>
              <w:pageBreakBefore w:val="0"/>
              <w:numPr>
                <w:ilvl w:val="0"/>
                <w:numId w:val="0"/>
              </w:numPr>
              <w:kinsoku/>
              <w:wordWrap/>
              <w:overflowPunct/>
              <w:topLinePunct w:val="0"/>
              <w:bidi w:val="0"/>
              <w:adjustRightInd/>
              <w:snapToGrid/>
              <w:spacing w:line="400" w:lineRule="exact"/>
              <w:ind w:leftChars="0"/>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6.1</w:t>
            </w:r>
            <w:r>
              <w:rPr>
                <w:rFonts w:hint="eastAsia" w:ascii="宋体" w:hAnsi="宋体" w:eastAsia="宋体" w:cs="宋体"/>
                <w:bCs/>
                <w:sz w:val="21"/>
                <w:szCs w:val="21"/>
              </w:rPr>
              <w:t>问题处方（医嘱）保存、查询，以及不合理问题统计分析。</w:t>
            </w:r>
          </w:p>
          <w:p w14:paraId="4D4F7AC8">
            <w:pPr>
              <w:pStyle w:val="21"/>
              <w:keepNext w:val="0"/>
              <w:keepLines w:val="0"/>
              <w:pageBreakBefore w:val="0"/>
              <w:numPr>
                <w:ilvl w:val="0"/>
                <w:numId w:val="0"/>
              </w:numPr>
              <w:kinsoku/>
              <w:wordWrap/>
              <w:overflowPunct/>
              <w:topLinePunct w:val="0"/>
              <w:bidi w:val="0"/>
              <w:adjustRightInd/>
              <w:snapToGrid/>
              <w:spacing w:line="400" w:lineRule="exact"/>
              <w:ind w:leftChars="0"/>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6.2</w:t>
            </w:r>
            <w:r>
              <w:rPr>
                <w:rFonts w:hint="eastAsia" w:ascii="宋体" w:hAnsi="宋体" w:eastAsia="宋体" w:cs="宋体"/>
                <w:bCs/>
                <w:sz w:val="21"/>
                <w:szCs w:val="21"/>
              </w:rPr>
              <w:t>提供不合理问题评估功能，便于药师在做回顾性分析时对已评估的问题做记录。</w:t>
            </w:r>
          </w:p>
          <w:p w14:paraId="5C5F73C9">
            <w:pPr>
              <w:pStyle w:val="21"/>
              <w:keepNext w:val="0"/>
              <w:keepLines w:val="0"/>
              <w:pageBreakBefore w:val="0"/>
              <w:numPr>
                <w:ilvl w:val="0"/>
                <w:numId w:val="0"/>
              </w:numPr>
              <w:kinsoku/>
              <w:wordWrap/>
              <w:overflowPunct/>
              <w:topLinePunct w:val="0"/>
              <w:bidi w:val="0"/>
              <w:adjustRightInd/>
              <w:snapToGrid/>
              <w:spacing w:line="400" w:lineRule="exact"/>
              <w:ind w:leftChars="0"/>
              <w:jc w:val="both"/>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6.3</w:t>
            </w:r>
            <w:r>
              <w:rPr>
                <w:rFonts w:hint="eastAsia" w:ascii="宋体" w:hAnsi="宋体" w:eastAsia="宋体" w:cs="宋体"/>
                <w:bCs/>
                <w:sz w:val="21"/>
                <w:szCs w:val="21"/>
              </w:rPr>
              <w:t>用药理由统计</w:t>
            </w:r>
          </w:p>
        </w:tc>
        <w:tc>
          <w:tcPr>
            <w:tcW w:w="1522" w:type="dxa"/>
            <w:noWrap w:val="0"/>
            <w:vAlign w:val="center"/>
          </w:tcPr>
          <w:p w14:paraId="00C80C95">
            <w:pPr>
              <w:spacing w:line="300" w:lineRule="exact"/>
              <w:rPr>
                <w:rFonts w:ascii="宋体" w:hAnsi="宋体"/>
                <w:b/>
                <w:color w:val="000000"/>
                <w:szCs w:val="21"/>
              </w:rPr>
            </w:pPr>
          </w:p>
        </w:tc>
      </w:tr>
      <w:tr w14:paraId="170F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680" w:type="dxa"/>
            <w:noWrap w:val="0"/>
            <w:vAlign w:val="center"/>
          </w:tcPr>
          <w:p w14:paraId="3E3073DB">
            <w:pPr>
              <w:spacing w:line="300" w:lineRule="exact"/>
              <w:jc w:val="center"/>
              <w:rPr>
                <w:rFonts w:hint="default" w:ascii="宋体" w:hAnsi="宋体" w:eastAsiaTheme="minorEastAsia"/>
                <w:color w:val="000000"/>
                <w:sz w:val="21"/>
                <w:szCs w:val="21"/>
                <w:lang w:val="en-US" w:eastAsia="zh-CN"/>
              </w:rPr>
            </w:pPr>
            <w:r>
              <w:rPr>
                <w:rFonts w:hint="eastAsia" w:ascii="宋体" w:hAnsi="宋体"/>
                <w:color w:val="000000"/>
                <w:sz w:val="21"/>
                <w:szCs w:val="21"/>
                <w:lang w:val="en-US" w:eastAsia="zh-CN"/>
              </w:rPr>
              <w:t>07</w:t>
            </w:r>
          </w:p>
        </w:tc>
        <w:tc>
          <w:tcPr>
            <w:tcW w:w="1129" w:type="dxa"/>
            <w:noWrap w:val="0"/>
            <w:vAlign w:val="center"/>
          </w:tcPr>
          <w:p w14:paraId="119B64D9">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通讯功能</w:t>
            </w:r>
          </w:p>
        </w:tc>
        <w:tc>
          <w:tcPr>
            <w:tcW w:w="4432" w:type="dxa"/>
            <w:noWrap w:val="0"/>
            <w:vAlign w:val="center"/>
          </w:tcPr>
          <w:p w14:paraId="66DC7A79">
            <w:pPr>
              <w:pStyle w:val="4"/>
              <w:keepNext w:val="0"/>
              <w:keepLines w:val="0"/>
              <w:pageBreakBefore w:val="0"/>
              <w:numPr>
                <w:ilvl w:val="0"/>
                <w:numId w:val="0"/>
              </w:numPr>
              <w:kinsoku/>
              <w:wordWrap/>
              <w:overflowPunct/>
              <w:topLinePunct w:val="0"/>
              <w:bidi w:val="0"/>
              <w:adjustRightInd/>
              <w:snapToGrid/>
              <w:spacing w:line="400" w:lineRule="exact"/>
              <w:ind w:left="0" w:leftChars="0" w:firstLine="0" w:firstLineChars="0"/>
              <w:jc w:val="both"/>
              <w:textAlignment w:val="auto"/>
              <w:rPr>
                <w:rFonts w:hint="default" w:ascii="宋体" w:hAnsi="宋体" w:eastAsia="宋体" w:cs="宋体"/>
                <w:bCs/>
                <w:kern w:val="2"/>
                <w:sz w:val="21"/>
                <w:szCs w:val="21"/>
                <w:lang w:val="en-US" w:eastAsia="zh-CN" w:bidi="ar-SA"/>
              </w:rPr>
            </w:pPr>
            <w:r>
              <w:rPr>
                <w:rFonts w:hint="eastAsia" w:ascii="宋体" w:hAnsi="宋体" w:eastAsia="宋体" w:cs="宋体"/>
                <w:sz w:val="21"/>
                <w:szCs w:val="21"/>
              </w:rPr>
              <w:t>系统应提供药师和医生的在线沟通平台，提供截图、发送图片、文件传输、消息撤回、消息已读提示功能。</w:t>
            </w:r>
            <w:r>
              <w:rPr>
                <w:rFonts w:hint="eastAsia" w:ascii="宋体" w:hAnsi="宋体" w:cs="宋体"/>
                <w:sz w:val="21"/>
                <w:szCs w:val="21"/>
                <w:lang w:val="en-US" w:eastAsia="zh-CN"/>
              </w:rPr>
              <w:t>该系统应绕开常见的高危端口进行通讯，如：445、139、135等，确保使用系统的自定义端口进行通讯。</w:t>
            </w:r>
          </w:p>
        </w:tc>
        <w:tc>
          <w:tcPr>
            <w:tcW w:w="1522" w:type="dxa"/>
            <w:noWrap w:val="0"/>
            <w:vAlign w:val="center"/>
          </w:tcPr>
          <w:p w14:paraId="030F33A1">
            <w:pPr>
              <w:spacing w:line="300" w:lineRule="exact"/>
              <w:rPr>
                <w:rFonts w:ascii="宋体" w:hAnsi="宋体"/>
                <w:b/>
                <w:color w:val="000000"/>
                <w:szCs w:val="21"/>
              </w:rPr>
            </w:pPr>
          </w:p>
        </w:tc>
      </w:tr>
      <w:tr w14:paraId="3A9AC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680" w:type="dxa"/>
            <w:noWrap w:val="0"/>
            <w:vAlign w:val="center"/>
          </w:tcPr>
          <w:p w14:paraId="7705FD62">
            <w:pPr>
              <w:spacing w:line="300" w:lineRule="exact"/>
              <w:jc w:val="center"/>
              <w:rPr>
                <w:rFonts w:hint="default" w:ascii="宋体" w:hAnsi="宋体" w:eastAsiaTheme="minorEastAsia"/>
                <w:color w:val="000000"/>
                <w:sz w:val="21"/>
                <w:szCs w:val="21"/>
                <w:lang w:val="en-US" w:eastAsia="zh-CN"/>
              </w:rPr>
            </w:pPr>
            <w:r>
              <w:rPr>
                <w:rFonts w:hint="eastAsia" w:ascii="宋体" w:hAnsi="宋体"/>
                <w:color w:val="000000"/>
                <w:sz w:val="21"/>
                <w:szCs w:val="21"/>
                <w:lang w:val="en-US" w:eastAsia="zh-CN"/>
              </w:rPr>
              <w:t>08</w:t>
            </w:r>
          </w:p>
        </w:tc>
        <w:tc>
          <w:tcPr>
            <w:tcW w:w="1129" w:type="dxa"/>
            <w:noWrap w:val="0"/>
            <w:vAlign w:val="center"/>
          </w:tcPr>
          <w:p w14:paraId="52211D88">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服务要求及资质</w:t>
            </w:r>
          </w:p>
          <w:p w14:paraId="0A8007DD">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sz w:val="21"/>
                <w:szCs w:val="21"/>
              </w:rPr>
            </w:pPr>
          </w:p>
        </w:tc>
        <w:tc>
          <w:tcPr>
            <w:tcW w:w="4432" w:type="dxa"/>
            <w:noWrap w:val="0"/>
            <w:vAlign w:val="center"/>
          </w:tcPr>
          <w:p w14:paraId="768793B9">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w:t>
            </w:r>
            <w:r>
              <w:rPr>
                <w:rFonts w:hint="eastAsia" w:ascii="宋体" w:hAnsi="宋体" w:eastAsia="宋体" w:cs="宋体"/>
                <w:sz w:val="21"/>
                <w:szCs w:val="21"/>
              </w:rPr>
              <w:t>本次中标的承建商中标当日起，应满足24小时无条件响应，项目验收之日起满足维保一年的服务要求。</w:t>
            </w:r>
          </w:p>
          <w:p w14:paraId="258AE254">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w:t>
            </w:r>
            <w:r>
              <w:rPr>
                <w:rFonts w:hint="eastAsia" w:ascii="宋体" w:hAnsi="宋体" w:eastAsia="宋体" w:cs="宋体"/>
                <w:sz w:val="21"/>
                <w:szCs w:val="21"/>
              </w:rPr>
              <w:t>本次投标商应严格具备国家“安可”产品测评通过资质并提供相应证明。</w:t>
            </w:r>
          </w:p>
        </w:tc>
        <w:tc>
          <w:tcPr>
            <w:tcW w:w="1522" w:type="dxa"/>
            <w:noWrap w:val="0"/>
            <w:vAlign w:val="center"/>
          </w:tcPr>
          <w:p w14:paraId="1180040F">
            <w:pPr>
              <w:spacing w:line="300" w:lineRule="exact"/>
              <w:rPr>
                <w:rFonts w:ascii="宋体" w:hAnsi="宋体"/>
                <w:b/>
                <w:color w:val="000000"/>
                <w:szCs w:val="21"/>
              </w:rPr>
            </w:pPr>
          </w:p>
        </w:tc>
      </w:tr>
    </w:tbl>
    <w:p w14:paraId="34B17495">
      <w:pPr>
        <w:spacing w:line="360" w:lineRule="auto"/>
        <w:rPr>
          <w:rFonts w:hint="eastAsia" w:ascii="仿宋" w:hAnsi="仿宋" w:eastAsia="仿宋" w:cs="仿宋"/>
          <w:bCs/>
          <w:color w:val="000000"/>
          <w:sz w:val="28"/>
          <w:szCs w:val="28"/>
        </w:rPr>
      </w:pPr>
    </w:p>
    <w:p w14:paraId="5B2EE375">
      <w:pPr>
        <w:spacing w:line="276" w:lineRule="auto"/>
        <w:ind w:right="-115" w:rightChars="-55" w:firstLine="7480" w:firstLineChars="1700"/>
        <w:rPr>
          <w:sz w:val="44"/>
          <w:szCs w:val="52"/>
        </w:rPr>
      </w:pPr>
    </w:p>
    <w:p w14:paraId="637F55AC">
      <w:pPr>
        <w:pStyle w:val="10"/>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4B1E1B10">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3B10A3BC">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330F59C2">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2677F3B5">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2AE1FB35">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18C7A66D">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2B716D27">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163D06C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1915226F">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E1CA91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49BFA8E5">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426E8EC9">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0874658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6C7CDC6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207CBC2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2444A3A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25E0721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4085845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412013E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03AB84CE">
      <w:pPr>
        <w:spacing w:after="500" w:line="240" w:lineRule="auto"/>
        <w:ind w:firstLine="540" w:firstLineChars="200"/>
        <w:rPr>
          <w:rFonts w:hint="eastAsia" w:ascii="微软雅黑" w:hAnsi="微软雅黑" w:eastAsia="微软雅黑"/>
          <w:sz w:val="27"/>
          <w:szCs w:val="24"/>
        </w:rPr>
      </w:pPr>
    </w:p>
    <w:p w14:paraId="28AD3FE9">
      <w:pPr>
        <w:spacing w:after="500" w:line="240" w:lineRule="auto"/>
        <w:ind w:firstLine="540" w:firstLineChars="200"/>
        <w:rPr>
          <w:rFonts w:hint="eastAsia" w:ascii="微软雅黑" w:hAnsi="微软雅黑" w:eastAsia="微软雅黑"/>
          <w:sz w:val="27"/>
          <w:szCs w:val="24"/>
        </w:rPr>
      </w:pPr>
    </w:p>
    <w:p w14:paraId="26425ACA">
      <w:pPr>
        <w:spacing w:after="500" w:line="240" w:lineRule="auto"/>
        <w:ind w:firstLine="540" w:firstLineChars="200"/>
        <w:rPr>
          <w:rFonts w:hint="eastAsia" w:ascii="微软雅黑" w:hAnsi="微软雅黑" w:eastAsia="微软雅黑"/>
          <w:sz w:val="27"/>
          <w:szCs w:val="24"/>
        </w:rPr>
      </w:pPr>
    </w:p>
    <w:p w14:paraId="2B4D5904">
      <w:pPr>
        <w:spacing w:after="500" w:line="240" w:lineRule="auto"/>
        <w:ind w:firstLine="540" w:firstLineChars="200"/>
        <w:rPr>
          <w:rFonts w:hint="eastAsia" w:ascii="微软雅黑" w:hAnsi="微软雅黑" w:eastAsia="微软雅黑"/>
          <w:sz w:val="27"/>
          <w:szCs w:val="24"/>
        </w:rPr>
      </w:pPr>
    </w:p>
    <w:p w14:paraId="1C300796">
      <w:pPr>
        <w:spacing w:after="500" w:line="240" w:lineRule="auto"/>
        <w:ind w:firstLine="540" w:firstLineChars="200"/>
        <w:rPr>
          <w:rFonts w:hint="eastAsia" w:ascii="微软雅黑" w:hAnsi="微软雅黑" w:eastAsia="微软雅黑"/>
          <w:sz w:val="27"/>
          <w:szCs w:val="24"/>
        </w:rPr>
      </w:pPr>
    </w:p>
    <w:p w14:paraId="4B21474F">
      <w:pPr>
        <w:spacing w:after="500" w:line="240" w:lineRule="auto"/>
        <w:ind w:firstLine="540" w:firstLineChars="200"/>
        <w:rPr>
          <w:rFonts w:hint="eastAsia" w:ascii="微软雅黑" w:hAnsi="微软雅黑" w:eastAsia="微软雅黑"/>
          <w:sz w:val="27"/>
          <w:szCs w:val="24"/>
        </w:rPr>
      </w:pPr>
    </w:p>
    <w:p w14:paraId="267BF200">
      <w:pPr>
        <w:spacing w:after="500" w:line="240" w:lineRule="auto"/>
        <w:ind w:firstLine="540" w:firstLineChars="200"/>
        <w:rPr>
          <w:rFonts w:hint="eastAsia" w:ascii="微软雅黑" w:hAnsi="微软雅黑" w:eastAsia="微软雅黑"/>
          <w:sz w:val="27"/>
          <w:szCs w:val="24"/>
        </w:rPr>
      </w:pPr>
    </w:p>
    <w:p w14:paraId="0EB8011D">
      <w:pPr>
        <w:spacing w:after="500" w:line="240" w:lineRule="auto"/>
        <w:ind w:firstLine="540" w:firstLineChars="200"/>
        <w:rPr>
          <w:rFonts w:hint="eastAsia" w:ascii="微软雅黑" w:hAnsi="微软雅黑" w:eastAsia="微软雅黑"/>
          <w:sz w:val="27"/>
          <w:szCs w:val="24"/>
        </w:rPr>
      </w:pPr>
    </w:p>
    <w:p w14:paraId="587D6731">
      <w:pPr>
        <w:spacing w:after="500" w:line="240" w:lineRule="auto"/>
        <w:rPr>
          <w:rFonts w:hint="eastAsia" w:ascii="微软雅黑" w:hAnsi="微软雅黑" w:eastAsia="微软雅黑"/>
          <w:sz w:val="27"/>
          <w:szCs w:val="24"/>
        </w:rPr>
      </w:pPr>
    </w:p>
    <w:p w14:paraId="6960DC67">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1"/>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3CB657F5">
        <w:tblPrEx>
          <w:tblCellMar>
            <w:top w:w="0" w:type="dxa"/>
            <w:left w:w="108" w:type="dxa"/>
            <w:bottom w:w="0" w:type="dxa"/>
            <w:right w:w="108" w:type="dxa"/>
          </w:tblCellMar>
        </w:tblPrEx>
        <w:trPr>
          <w:trHeight w:val="510" w:hRule="atLeast"/>
        </w:trPr>
        <w:tc>
          <w:tcPr>
            <w:tcW w:w="8237" w:type="dxa"/>
            <w:gridSpan w:val="5"/>
            <w:vAlign w:val="center"/>
          </w:tcPr>
          <w:p w14:paraId="69CA4BA0">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2F5A9012">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AB74F81">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459BA4A2">
            <w:pPr>
              <w:widowControl/>
              <w:jc w:val="left"/>
              <w:rPr>
                <w:rFonts w:hint="eastAsia" w:ascii="宋体" w:hAnsi="宋体" w:cs="宋体"/>
                <w:kern w:val="0"/>
                <w:szCs w:val="21"/>
              </w:rPr>
            </w:pPr>
            <w:r>
              <w:rPr>
                <w:rFonts w:hint="eastAsia" w:ascii="宋体" w:hAnsi="宋体" w:cs="宋体"/>
                <w:kern w:val="0"/>
                <w:szCs w:val="21"/>
              </w:rPr>
              <w:t>考核年度：</w:t>
            </w:r>
          </w:p>
        </w:tc>
      </w:tr>
      <w:tr w14:paraId="2A0BCAE4">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557D7F8">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3D788A7A">
            <w:pPr>
              <w:widowControl/>
              <w:jc w:val="left"/>
              <w:rPr>
                <w:rFonts w:hint="eastAsia" w:ascii="宋体" w:hAnsi="宋体" w:cs="宋体"/>
                <w:kern w:val="0"/>
                <w:szCs w:val="21"/>
              </w:rPr>
            </w:pPr>
            <w:r>
              <w:rPr>
                <w:rFonts w:hint="eastAsia" w:ascii="宋体" w:hAnsi="宋体" w:cs="宋体"/>
                <w:kern w:val="0"/>
                <w:szCs w:val="21"/>
              </w:rPr>
              <w:t>项目实施进度：</w:t>
            </w:r>
          </w:p>
        </w:tc>
      </w:tr>
      <w:tr w14:paraId="40B782A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880A810">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6E3FA824">
            <w:pPr>
              <w:widowControl/>
              <w:jc w:val="left"/>
              <w:rPr>
                <w:rFonts w:hint="eastAsia" w:ascii="宋体" w:hAnsi="宋体" w:cs="宋体"/>
                <w:kern w:val="0"/>
                <w:szCs w:val="21"/>
              </w:rPr>
            </w:pPr>
            <w:r>
              <w:rPr>
                <w:rFonts w:hint="eastAsia" w:ascii="宋体" w:hAnsi="宋体" w:cs="宋体"/>
                <w:kern w:val="0"/>
                <w:szCs w:val="21"/>
              </w:rPr>
              <w:t>联系方式：</w:t>
            </w:r>
          </w:p>
        </w:tc>
      </w:tr>
      <w:tr w14:paraId="2EF9F9F2">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8C25CAA">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50742CF3">
            <w:pPr>
              <w:widowControl/>
              <w:jc w:val="center"/>
              <w:rPr>
                <w:rFonts w:hint="eastAsia" w:ascii="宋体" w:hAnsi="宋体" w:cs="宋体"/>
                <w:kern w:val="0"/>
                <w:szCs w:val="21"/>
              </w:rPr>
            </w:pPr>
            <w:r>
              <w:rPr>
                <w:rFonts w:hint="eastAsia" w:ascii="宋体" w:hAnsi="宋体" w:cs="宋体"/>
                <w:kern w:val="0"/>
                <w:szCs w:val="21"/>
              </w:rPr>
              <w:t>不满意</w:t>
            </w:r>
          </w:p>
          <w:p w14:paraId="7BDE23B7">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7CE4FB52">
            <w:pPr>
              <w:widowControl/>
              <w:jc w:val="center"/>
              <w:rPr>
                <w:rFonts w:hint="eastAsia" w:ascii="宋体" w:hAnsi="宋体" w:cs="宋体"/>
                <w:kern w:val="0"/>
                <w:szCs w:val="21"/>
              </w:rPr>
            </w:pPr>
            <w:r>
              <w:rPr>
                <w:rFonts w:hint="eastAsia" w:ascii="宋体" w:hAnsi="宋体" w:cs="宋体"/>
                <w:kern w:val="0"/>
                <w:szCs w:val="21"/>
              </w:rPr>
              <w:t>满意</w:t>
            </w:r>
          </w:p>
          <w:p w14:paraId="0BA6CB28">
            <w:pPr>
              <w:widowControl/>
              <w:jc w:val="center"/>
              <w:rPr>
                <w:rFonts w:hint="eastAsia" w:ascii="宋体" w:hAnsi="宋体" w:cs="宋体"/>
                <w:kern w:val="0"/>
                <w:szCs w:val="21"/>
              </w:rPr>
            </w:pPr>
            <w:r>
              <w:rPr>
                <w:rFonts w:hint="eastAsia" w:ascii="宋体" w:hAnsi="宋体" w:cs="宋体"/>
                <w:kern w:val="0"/>
                <w:szCs w:val="21"/>
              </w:rPr>
              <w:t>90-100分</w:t>
            </w:r>
          </w:p>
        </w:tc>
      </w:tr>
      <w:tr w14:paraId="19C19602">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028B7EA0">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07B2D1A5">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C22C6E3">
            <w:pPr>
              <w:widowControl/>
              <w:jc w:val="center"/>
              <w:rPr>
                <w:rFonts w:hint="eastAsia" w:ascii="宋体" w:hAnsi="宋体" w:cs="宋体"/>
                <w:kern w:val="0"/>
                <w:szCs w:val="21"/>
              </w:rPr>
            </w:pPr>
          </w:p>
        </w:tc>
      </w:tr>
      <w:tr w14:paraId="718B596F">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0B627B84">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586BE019">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2E436720">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7C0F58BE">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647DC0E6">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13A8CFFF">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7D9179A8">
            <w:pPr>
              <w:widowControl/>
              <w:jc w:val="left"/>
              <w:rPr>
                <w:rFonts w:hint="eastAsia" w:ascii="宋体" w:hAnsi="宋体" w:cs="宋体"/>
                <w:color w:val="000000"/>
                <w:kern w:val="0"/>
                <w:szCs w:val="21"/>
              </w:rPr>
            </w:pPr>
          </w:p>
          <w:p w14:paraId="28B05581">
            <w:pPr>
              <w:widowControl/>
              <w:jc w:val="left"/>
              <w:rPr>
                <w:rFonts w:hint="eastAsia" w:ascii="宋体" w:hAnsi="宋体" w:cs="宋体"/>
                <w:color w:val="000000"/>
                <w:kern w:val="0"/>
                <w:szCs w:val="21"/>
              </w:rPr>
            </w:pPr>
          </w:p>
          <w:p w14:paraId="79DE3682">
            <w:pPr>
              <w:widowControl/>
              <w:jc w:val="left"/>
              <w:rPr>
                <w:rFonts w:hint="eastAsia" w:ascii="宋体" w:hAnsi="宋体" w:cs="宋体"/>
                <w:color w:val="000000"/>
                <w:kern w:val="0"/>
                <w:szCs w:val="21"/>
              </w:rPr>
            </w:pPr>
          </w:p>
          <w:p w14:paraId="3366C7EA">
            <w:pPr>
              <w:widowControl/>
              <w:jc w:val="left"/>
              <w:rPr>
                <w:rFonts w:hint="eastAsia" w:ascii="宋体" w:hAnsi="宋体" w:cs="宋体"/>
                <w:color w:val="000000"/>
                <w:kern w:val="0"/>
                <w:szCs w:val="21"/>
              </w:rPr>
            </w:pPr>
          </w:p>
          <w:p w14:paraId="75E62E7A">
            <w:pPr>
              <w:widowControl/>
              <w:jc w:val="left"/>
              <w:rPr>
                <w:rFonts w:hint="eastAsia" w:ascii="宋体" w:hAnsi="宋体" w:cs="宋体"/>
                <w:color w:val="000000"/>
                <w:kern w:val="0"/>
                <w:szCs w:val="21"/>
              </w:rPr>
            </w:pPr>
          </w:p>
          <w:p w14:paraId="6005F826">
            <w:pPr>
              <w:widowControl/>
              <w:rPr>
                <w:rFonts w:hint="eastAsia" w:ascii="宋体" w:hAnsi="宋体" w:cs="宋体"/>
                <w:kern w:val="0"/>
                <w:szCs w:val="21"/>
              </w:rPr>
            </w:pPr>
          </w:p>
        </w:tc>
      </w:tr>
      <w:tr w14:paraId="75DD45F6">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5408C8CF">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5D4A685F">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5828F4A1">
      <w:pPr>
        <w:spacing w:after="500" w:line="240" w:lineRule="auto"/>
        <w:ind w:firstLine="560" w:firstLineChars="200"/>
        <w:rPr>
          <w:rFonts w:hint="eastAsia" w:ascii="黑体" w:hAnsi="黑体" w:eastAsia="黑体"/>
          <w:sz w:val="28"/>
          <w:szCs w:val="28"/>
          <w:lang w:val="en-US" w:eastAsia="zh-CN"/>
        </w:rPr>
      </w:pPr>
    </w:p>
    <w:p w14:paraId="360C0DF4">
      <w:pPr>
        <w:spacing w:line="360" w:lineRule="auto"/>
        <w:jc w:val="left"/>
        <w:rPr>
          <w:rFonts w:hint="default" w:ascii="黑体" w:hAnsi="黑体" w:eastAsia="黑体"/>
          <w:sz w:val="28"/>
          <w:szCs w:val="28"/>
          <w:lang w:val="en-US" w:eastAsia="zh-CN"/>
        </w:rPr>
      </w:pPr>
    </w:p>
    <w:p w14:paraId="26415660">
      <w:pPr>
        <w:spacing w:line="360" w:lineRule="auto"/>
        <w:jc w:val="left"/>
        <w:rPr>
          <w:rFonts w:hint="default" w:ascii="宋体" w:hAnsi="宋体" w:cs="仿宋"/>
          <w:b w:val="0"/>
          <w:bCs w:val="0"/>
          <w:color w:val="000000"/>
          <w:sz w:val="32"/>
          <w:szCs w:val="32"/>
          <w:lang w:val="en-US" w:eastAsia="zh-CN"/>
        </w:rPr>
      </w:pPr>
    </w:p>
    <w:p w14:paraId="64B39CEF"/>
    <w:p w14:paraId="5DBF65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409FA"/>
    <w:multiLevelType w:val="multilevel"/>
    <w:tmpl w:val="047409FA"/>
    <w:lvl w:ilvl="0" w:tentative="0">
      <w:start w:val="1"/>
      <w:numFmt w:val="decimal"/>
      <w:lvlText w:val="%1"/>
      <w:lvlJc w:val="left"/>
      <w:pPr>
        <w:ind w:left="360" w:hanging="360"/>
      </w:pPr>
      <w:rPr>
        <w:rFonts w:hint="default"/>
      </w:rPr>
    </w:lvl>
    <w:lvl w:ilvl="1" w:tentative="0">
      <w:start w:val="1"/>
      <w:numFmt w:val="decimal"/>
      <w:lvlText w:val="1.%2"/>
      <w:lvlJc w:val="left"/>
      <w:rPr>
        <w:rFonts w:hint="eastAsia"/>
        <w:color w:val="auto"/>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4"/>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2807276"/>
    <w:rsid w:val="03757E97"/>
    <w:rsid w:val="056D430E"/>
    <w:rsid w:val="09DD5F7B"/>
    <w:rsid w:val="0BC57674"/>
    <w:rsid w:val="0CCC4058"/>
    <w:rsid w:val="0D5154EF"/>
    <w:rsid w:val="0D6175BB"/>
    <w:rsid w:val="0F860A35"/>
    <w:rsid w:val="0FDC69B3"/>
    <w:rsid w:val="10C723B1"/>
    <w:rsid w:val="11457119"/>
    <w:rsid w:val="1203345F"/>
    <w:rsid w:val="13CB4998"/>
    <w:rsid w:val="16A36768"/>
    <w:rsid w:val="16BF796D"/>
    <w:rsid w:val="18F76334"/>
    <w:rsid w:val="191A6149"/>
    <w:rsid w:val="1A0A7A8C"/>
    <w:rsid w:val="1A9441C4"/>
    <w:rsid w:val="1C1357D3"/>
    <w:rsid w:val="1D4848F9"/>
    <w:rsid w:val="1DB775F0"/>
    <w:rsid w:val="1F4613C6"/>
    <w:rsid w:val="20234AC9"/>
    <w:rsid w:val="208714FC"/>
    <w:rsid w:val="20E93B38"/>
    <w:rsid w:val="21105668"/>
    <w:rsid w:val="23A844F8"/>
    <w:rsid w:val="276716D6"/>
    <w:rsid w:val="2817785A"/>
    <w:rsid w:val="28632A43"/>
    <w:rsid w:val="286353F0"/>
    <w:rsid w:val="2A372565"/>
    <w:rsid w:val="2B792023"/>
    <w:rsid w:val="2D462D19"/>
    <w:rsid w:val="2DAF6534"/>
    <w:rsid w:val="2DDB3DB1"/>
    <w:rsid w:val="2ED0406E"/>
    <w:rsid w:val="2F837D56"/>
    <w:rsid w:val="2FAD5E00"/>
    <w:rsid w:val="32A2785A"/>
    <w:rsid w:val="346C76AD"/>
    <w:rsid w:val="35153E9A"/>
    <w:rsid w:val="36BE46BB"/>
    <w:rsid w:val="37986F24"/>
    <w:rsid w:val="37987A5E"/>
    <w:rsid w:val="38FD01D1"/>
    <w:rsid w:val="3B427BE3"/>
    <w:rsid w:val="3C0678D2"/>
    <w:rsid w:val="3C152DBD"/>
    <w:rsid w:val="3D2A34E3"/>
    <w:rsid w:val="3E9056D3"/>
    <w:rsid w:val="46352F9D"/>
    <w:rsid w:val="46F71DBC"/>
    <w:rsid w:val="48E27D23"/>
    <w:rsid w:val="4A196F32"/>
    <w:rsid w:val="4B3348D0"/>
    <w:rsid w:val="4B4A0F01"/>
    <w:rsid w:val="4BB92EC3"/>
    <w:rsid w:val="4C914391"/>
    <w:rsid w:val="4CB00CE3"/>
    <w:rsid w:val="4CCC0BA3"/>
    <w:rsid w:val="4D3F08E5"/>
    <w:rsid w:val="4D547818"/>
    <w:rsid w:val="4D866310"/>
    <w:rsid w:val="4E357B02"/>
    <w:rsid w:val="4E8E77E3"/>
    <w:rsid w:val="4F7320D0"/>
    <w:rsid w:val="50BE54A9"/>
    <w:rsid w:val="52A62FC3"/>
    <w:rsid w:val="52F318FC"/>
    <w:rsid w:val="54267DA4"/>
    <w:rsid w:val="54705699"/>
    <w:rsid w:val="54D50EB0"/>
    <w:rsid w:val="55291AF5"/>
    <w:rsid w:val="55E404F6"/>
    <w:rsid w:val="58212D9B"/>
    <w:rsid w:val="59B14FC6"/>
    <w:rsid w:val="5B3E583B"/>
    <w:rsid w:val="5BC15E3F"/>
    <w:rsid w:val="5C431692"/>
    <w:rsid w:val="5CA644DC"/>
    <w:rsid w:val="5E4915C3"/>
    <w:rsid w:val="5EE91B71"/>
    <w:rsid w:val="5FE53F41"/>
    <w:rsid w:val="60030F64"/>
    <w:rsid w:val="623065F6"/>
    <w:rsid w:val="62335ECC"/>
    <w:rsid w:val="64104633"/>
    <w:rsid w:val="66DF6EFB"/>
    <w:rsid w:val="66ED2BFB"/>
    <w:rsid w:val="674B3D63"/>
    <w:rsid w:val="677B5394"/>
    <w:rsid w:val="69AE2A5F"/>
    <w:rsid w:val="69E72097"/>
    <w:rsid w:val="6C427652"/>
    <w:rsid w:val="6E3D2C7C"/>
    <w:rsid w:val="6E950D2C"/>
    <w:rsid w:val="6FB45B28"/>
    <w:rsid w:val="703662DF"/>
    <w:rsid w:val="708B7E9F"/>
    <w:rsid w:val="72637AFF"/>
    <w:rsid w:val="77013680"/>
    <w:rsid w:val="77D953F3"/>
    <w:rsid w:val="77F10232"/>
    <w:rsid w:val="78373497"/>
    <w:rsid w:val="79517DF8"/>
    <w:rsid w:val="7B4D7FF5"/>
    <w:rsid w:val="7BF34B33"/>
    <w:rsid w:val="7C87122E"/>
    <w:rsid w:val="7C9B5BF7"/>
    <w:rsid w:val="7D18282E"/>
    <w:rsid w:val="7EC7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4">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spacing w:line="300" w:lineRule="auto"/>
      <w:ind w:firstLine="560" w:firstLineChars="200"/>
      <w:jc w:val="left"/>
    </w:pPr>
    <w:rPr>
      <w:sz w:val="2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spacing w:line="440" w:lineRule="atLeast"/>
      <w:ind w:firstLine="480" w:firstLineChars="200"/>
      <w:jc w:val="left"/>
    </w:pPr>
    <w:rPr>
      <w:sz w:val="24"/>
    </w:r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000FF"/>
      <w:u w:val="single"/>
    </w:rPr>
  </w:style>
  <w:style w:type="character" w:customStyle="1" w:styleId="15">
    <w:name w:val="页眉 Char"/>
    <w:basedOn w:val="13"/>
    <w:link w:val="8"/>
    <w:qFormat/>
    <w:uiPriority w:val="0"/>
    <w:rPr>
      <w:rFonts w:asciiTheme="minorHAnsi" w:hAnsiTheme="minorHAnsi" w:eastAsiaTheme="minorEastAsia" w:cstheme="minorBidi"/>
      <w:kern w:val="2"/>
      <w:sz w:val="18"/>
      <w:szCs w:val="18"/>
    </w:rPr>
  </w:style>
  <w:style w:type="character" w:customStyle="1" w:styleId="16">
    <w:name w:val="页脚 Char"/>
    <w:basedOn w:val="13"/>
    <w:link w:val="7"/>
    <w:qFormat/>
    <w:uiPriority w:val="0"/>
    <w:rPr>
      <w:rFonts w:asciiTheme="minorHAnsi" w:hAnsiTheme="minorHAnsi" w:eastAsiaTheme="minorEastAsia" w:cstheme="minorBidi"/>
      <w:kern w:val="2"/>
      <w:sz w:val="18"/>
      <w:szCs w:val="18"/>
    </w:rPr>
  </w:style>
  <w:style w:type="character" w:customStyle="1" w:styleId="17">
    <w:name w:val="font21"/>
    <w:basedOn w:val="13"/>
    <w:qFormat/>
    <w:uiPriority w:val="0"/>
    <w:rPr>
      <w:rFonts w:hint="eastAsia" w:ascii="宋体" w:hAnsi="宋体" w:eastAsia="宋体" w:cs="宋体"/>
      <w:color w:val="000000"/>
      <w:sz w:val="21"/>
      <w:szCs w:val="21"/>
      <w:u w:val="none"/>
    </w:rPr>
  </w:style>
  <w:style w:type="character" w:customStyle="1" w:styleId="18">
    <w:name w:val="font31"/>
    <w:basedOn w:val="13"/>
    <w:qFormat/>
    <w:uiPriority w:val="0"/>
    <w:rPr>
      <w:rFonts w:hint="eastAsia" w:ascii="宋体" w:hAnsi="宋体" w:eastAsia="宋体" w:cs="宋体"/>
      <w:color w:val="000000"/>
      <w:sz w:val="21"/>
      <w:szCs w:val="21"/>
      <w:u w:val="single"/>
    </w:rPr>
  </w:style>
  <w:style w:type="character" w:customStyle="1" w:styleId="19">
    <w:name w:val="font11"/>
    <w:basedOn w:val="13"/>
    <w:qFormat/>
    <w:uiPriority w:val="0"/>
    <w:rPr>
      <w:rFonts w:hint="eastAsia" w:ascii="宋体" w:hAnsi="宋体" w:eastAsia="宋体" w:cs="宋体"/>
      <w:b/>
      <w:bCs/>
      <w:color w:val="000000"/>
      <w:sz w:val="21"/>
      <w:szCs w:val="21"/>
      <w:u w:val="none"/>
    </w:rPr>
  </w:style>
  <w:style w:type="paragraph" w:customStyle="1" w:styleId="20">
    <w:name w:val="石墨文档正文"/>
    <w:qFormat/>
    <w:uiPriority w:val="0"/>
    <w:rPr>
      <w:rFonts w:ascii="Arial Unicode MS" w:hAnsi="Arial Unicode MS" w:eastAsia="MicrosoftYaHei" w:cs="Arial Unicode MS"/>
      <w:sz w:val="22"/>
      <w:szCs w:val="22"/>
    </w:rPr>
  </w:style>
  <w:style w:type="paragraph"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11</Pages>
  <Words>1506</Words>
  <Characters>1595</Characters>
  <Lines>8</Lines>
  <Paragraphs>2</Paragraphs>
  <TotalTime>0</TotalTime>
  <ScaleCrop>false</ScaleCrop>
  <LinksUpToDate>false</LinksUpToDate>
  <CharactersWithSpaces>1880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2025-06-09T01:55:28Z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