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F8CD4">
      <w:pPr>
        <w:spacing w:line="400" w:lineRule="exact"/>
        <w:outlineLvl w:val="0"/>
        <w:rPr>
          <w:rFonts w:hint="eastAsia" w:ascii="仿宋" w:hAnsi="仿宋" w:eastAsia="仿宋" w:cs="仿宋"/>
          <w:b/>
          <w:sz w:val="24"/>
        </w:rPr>
      </w:pPr>
      <w:bookmarkStart w:id="0" w:name="_GoBack"/>
      <w:bookmarkEnd w:id="0"/>
      <w:r>
        <w:rPr>
          <w:rFonts w:hint="eastAsia" w:ascii="仿宋" w:hAnsi="仿宋" w:eastAsia="仿宋" w:cs="仿宋"/>
          <w:b/>
          <w:sz w:val="24"/>
        </w:rPr>
        <w:t>采购需求：</w:t>
      </w:r>
    </w:p>
    <w:p w14:paraId="7079C043">
      <w:pPr>
        <w:pStyle w:val="2"/>
        <w:ind w:firstLine="480"/>
      </w:pPr>
      <w:r>
        <w:rPr>
          <w:rFonts w:hint="eastAsia"/>
        </w:rPr>
        <w:t>根据现有井道，方便菜品传送，减少人力成本和时间，现需采购</w:t>
      </w:r>
      <w:r>
        <w:rPr>
          <w:rFonts w:hint="eastAsia"/>
          <w:lang w:eastAsia="zh-CN"/>
        </w:rPr>
        <w:t>垂直</w:t>
      </w:r>
      <w:r>
        <w:rPr>
          <w:rFonts w:hint="eastAsia"/>
        </w:rPr>
        <w:t>杂物电梯一台（包安装）。</w:t>
      </w:r>
    </w:p>
    <w:p w14:paraId="32E46A48">
      <w:r>
        <w:rPr>
          <w:rFonts w:hint="eastAsia"/>
        </w:rPr>
        <w:t>（一）主要技术参数、规格</w:t>
      </w:r>
    </w:p>
    <w:tbl>
      <w:tblPr>
        <w:tblStyle w:val="13"/>
        <w:tblW w:w="7932" w:type="dxa"/>
        <w:jc w:val="center"/>
        <w:tblLayout w:type="fixed"/>
        <w:tblCellMar>
          <w:top w:w="0" w:type="dxa"/>
          <w:left w:w="108" w:type="dxa"/>
          <w:bottom w:w="0" w:type="dxa"/>
          <w:right w:w="108" w:type="dxa"/>
        </w:tblCellMar>
      </w:tblPr>
      <w:tblGrid>
        <w:gridCol w:w="638"/>
        <w:gridCol w:w="587"/>
        <w:gridCol w:w="641"/>
        <w:gridCol w:w="709"/>
        <w:gridCol w:w="736"/>
        <w:gridCol w:w="1214"/>
        <w:gridCol w:w="777"/>
        <w:gridCol w:w="900"/>
        <w:gridCol w:w="559"/>
        <w:gridCol w:w="709"/>
        <w:gridCol w:w="462"/>
      </w:tblGrid>
      <w:tr w14:paraId="3871599C">
        <w:tblPrEx>
          <w:tblCellMar>
            <w:top w:w="0" w:type="dxa"/>
            <w:left w:w="108" w:type="dxa"/>
            <w:bottom w:w="0" w:type="dxa"/>
            <w:right w:w="108" w:type="dxa"/>
          </w:tblCellMar>
        </w:tblPrEx>
        <w:trPr>
          <w:trHeight w:val="600" w:hRule="atLeast"/>
          <w:jc w:val="center"/>
        </w:trPr>
        <w:tc>
          <w:tcPr>
            <w:tcW w:w="638" w:type="dxa"/>
            <w:tcBorders>
              <w:top w:val="single" w:color="auto" w:sz="4" w:space="0"/>
              <w:left w:val="nil"/>
              <w:bottom w:val="single" w:color="auto" w:sz="4" w:space="0"/>
              <w:right w:val="single" w:color="auto" w:sz="4" w:space="0"/>
            </w:tcBorders>
            <w:vAlign w:val="center"/>
          </w:tcPr>
          <w:p w14:paraId="0651D38E">
            <w:r>
              <w:rPr>
                <w:rFonts w:hint="eastAsia"/>
              </w:rPr>
              <w:t>梯形</w:t>
            </w:r>
          </w:p>
        </w:tc>
        <w:tc>
          <w:tcPr>
            <w:tcW w:w="587" w:type="dxa"/>
            <w:tcBorders>
              <w:top w:val="single" w:color="auto" w:sz="4" w:space="0"/>
              <w:left w:val="nil"/>
              <w:bottom w:val="single" w:color="auto" w:sz="4" w:space="0"/>
              <w:right w:val="single" w:color="auto" w:sz="4" w:space="0"/>
            </w:tcBorders>
            <w:vAlign w:val="center"/>
          </w:tcPr>
          <w:p w14:paraId="0C2DB2C6">
            <w:pPr>
              <w:rPr>
                <w:rFonts w:hint="eastAsia" w:eastAsia="宋体"/>
                <w:lang w:eastAsia="zh-CN"/>
              </w:rPr>
            </w:pPr>
            <w:r>
              <w:rPr>
                <w:rFonts w:hint="eastAsia"/>
                <w:lang w:eastAsia="zh-CN"/>
              </w:rPr>
              <w:t>载</w:t>
            </w:r>
            <w:r>
              <w:rPr>
                <w:rFonts w:hint="eastAsia"/>
              </w:rPr>
              <w:t>重量</w:t>
            </w:r>
            <w:r>
              <w:rPr>
                <w:rFonts w:hint="eastAsia"/>
                <w:lang w:eastAsia="zh-CN"/>
              </w:rPr>
              <w:t>（</w:t>
            </w:r>
            <w:r>
              <w:rPr>
                <w:rFonts w:hint="eastAsia"/>
                <w:lang w:val="en-US" w:eastAsia="zh-CN"/>
              </w:rPr>
              <w:t>kg</w:t>
            </w:r>
            <w:r>
              <w:rPr>
                <w:rFonts w:hint="eastAsia"/>
                <w:lang w:eastAsia="zh-CN"/>
              </w:rPr>
              <w:t>）</w:t>
            </w:r>
          </w:p>
        </w:tc>
        <w:tc>
          <w:tcPr>
            <w:tcW w:w="641" w:type="dxa"/>
            <w:tcBorders>
              <w:top w:val="single" w:color="auto" w:sz="4" w:space="0"/>
              <w:left w:val="nil"/>
              <w:bottom w:val="single" w:color="auto" w:sz="4" w:space="0"/>
              <w:right w:val="single" w:color="auto" w:sz="4" w:space="0"/>
            </w:tcBorders>
            <w:vAlign w:val="center"/>
          </w:tcPr>
          <w:p w14:paraId="503014A5">
            <w:r>
              <w:rPr>
                <w:rFonts w:hint="eastAsia"/>
              </w:rPr>
              <w:t>井道内宽（mm）</w:t>
            </w:r>
          </w:p>
        </w:tc>
        <w:tc>
          <w:tcPr>
            <w:tcW w:w="709" w:type="dxa"/>
            <w:tcBorders>
              <w:top w:val="single" w:color="auto" w:sz="4" w:space="0"/>
              <w:left w:val="nil"/>
              <w:bottom w:val="single" w:color="auto" w:sz="4" w:space="0"/>
              <w:right w:val="single" w:color="auto" w:sz="4" w:space="0"/>
            </w:tcBorders>
            <w:vAlign w:val="center"/>
          </w:tcPr>
          <w:p w14:paraId="5F94D90D">
            <w:r>
              <w:rPr>
                <w:rFonts w:hint="eastAsia"/>
              </w:rPr>
              <w:t>井道内深（mm）</w:t>
            </w:r>
          </w:p>
        </w:tc>
        <w:tc>
          <w:tcPr>
            <w:tcW w:w="736" w:type="dxa"/>
            <w:tcBorders>
              <w:top w:val="single" w:color="auto" w:sz="4" w:space="0"/>
              <w:left w:val="nil"/>
              <w:bottom w:val="single" w:color="auto" w:sz="4" w:space="0"/>
              <w:right w:val="single" w:color="auto" w:sz="4" w:space="0"/>
            </w:tcBorders>
            <w:vAlign w:val="center"/>
          </w:tcPr>
          <w:p w14:paraId="6C57C321">
            <w:r>
              <w:rPr>
                <w:rFonts w:hint="eastAsia"/>
              </w:rPr>
              <w:t>底坑深度（mm）</w:t>
            </w:r>
          </w:p>
        </w:tc>
        <w:tc>
          <w:tcPr>
            <w:tcW w:w="1214" w:type="dxa"/>
            <w:tcBorders>
              <w:top w:val="single" w:color="auto" w:sz="4" w:space="0"/>
              <w:left w:val="nil"/>
              <w:bottom w:val="single" w:color="auto" w:sz="4" w:space="0"/>
              <w:right w:val="single" w:color="auto" w:sz="4" w:space="0"/>
            </w:tcBorders>
            <w:vAlign w:val="center"/>
          </w:tcPr>
          <w:p w14:paraId="7DE5A90B">
            <w:r>
              <w:rPr>
                <w:rFonts w:hint="eastAsia"/>
              </w:rPr>
              <w:t>冲顶高度（mm）</w:t>
            </w:r>
          </w:p>
        </w:tc>
        <w:tc>
          <w:tcPr>
            <w:tcW w:w="777" w:type="dxa"/>
            <w:tcBorders>
              <w:top w:val="single" w:color="auto" w:sz="4" w:space="0"/>
              <w:left w:val="nil"/>
              <w:bottom w:val="single" w:color="auto" w:sz="4" w:space="0"/>
              <w:right w:val="single" w:color="auto" w:sz="4" w:space="0"/>
            </w:tcBorders>
            <w:vAlign w:val="center"/>
          </w:tcPr>
          <w:p w14:paraId="195DFE12">
            <w:r>
              <w:rPr>
                <w:rFonts w:hint="eastAsia"/>
              </w:rPr>
              <w:t>机房层度（mm）</w:t>
            </w:r>
          </w:p>
        </w:tc>
        <w:tc>
          <w:tcPr>
            <w:tcW w:w="900" w:type="dxa"/>
            <w:tcBorders>
              <w:top w:val="single" w:color="auto" w:sz="4" w:space="0"/>
              <w:left w:val="nil"/>
              <w:bottom w:val="single" w:color="auto" w:sz="4" w:space="0"/>
              <w:right w:val="single" w:color="auto" w:sz="4" w:space="0"/>
            </w:tcBorders>
            <w:vAlign w:val="center"/>
          </w:tcPr>
          <w:p w14:paraId="0CD94793">
            <w:r>
              <w:rPr>
                <w:rFonts w:hint="eastAsia"/>
              </w:rPr>
              <w:t>停靠楼层</w:t>
            </w:r>
          </w:p>
        </w:tc>
        <w:tc>
          <w:tcPr>
            <w:tcW w:w="559" w:type="dxa"/>
            <w:tcBorders>
              <w:top w:val="single" w:color="auto" w:sz="4" w:space="0"/>
              <w:left w:val="nil"/>
              <w:bottom w:val="single" w:color="auto" w:sz="4" w:space="0"/>
              <w:right w:val="single" w:color="auto" w:sz="4" w:space="0"/>
            </w:tcBorders>
            <w:vAlign w:val="center"/>
          </w:tcPr>
          <w:p w14:paraId="069B7D57">
            <w:pPr>
              <w:rPr>
                <w:rFonts w:hint="eastAsia" w:eastAsia="宋体"/>
                <w:lang w:eastAsia="zh-CN"/>
              </w:rPr>
            </w:pPr>
            <w:r>
              <w:rPr>
                <w:rFonts w:hint="eastAsia"/>
              </w:rPr>
              <w:t>行程距离</w:t>
            </w:r>
            <w:r>
              <w:rPr>
                <w:rFonts w:hint="eastAsia"/>
                <w:lang w:eastAsia="zh-CN"/>
              </w:rPr>
              <w:t>（</w:t>
            </w:r>
            <w:r>
              <w:rPr>
                <w:rFonts w:hint="eastAsia"/>
                <w:lang w:val="en-US" w:eastAsia="zh-CN"/>
              </w:rPr>
              <w:t>m</w:t>
            </w:r>
            <w:r>
              <w:rPr>
                <w:rFonts w:hint="eastAsia"/>
                <w:lang w:eastAsia="zh-CN"/>
              </w:rPr>
              <w:t>）</w:t>
            </w:r>
          </w:p>
        </w:tc>
        <w:tc>
          <w:tcPr>
            <w:tcW w:w="709" w:type="dxa"/>
            <w:tcBorders>
              <w:top w:val="single" w:color="auto" w:sz="4" w:space="0"/>
              <w:left w:val="nil"/>
              <w:bottom w:val="single" w:color="auto" w:sz="4" w:space="0"/>
              <w:right w:val="single" w:color="auto" w:sz="4" w:space="0"/>
            </w:tcBorders>
            <w:vAlign w:val="center"/>
          </w:tcPr>
          <w:p w14:paraId="16242928">
            <w:r>
              <w:rPr>
                <w:rFonts w:hint="eastAsia"/>
              </w:rPr>
              <w:t>控制方式</w:t>
            </w:r>
          </w:p>
        </w:tc>
        <w:tc>
          <w:tcPr>
            <w:tcW w:w="462" w:type="dxa"/>
            <w:tcBorders>
              <w:top w:val="single" w:color="auto" w:sz="4" w:space="0"/>
              <w:left w:val="nil"/>
              <w:bottom w:val="single" w:color="auto" w:sz="4" w:space="0"/>
              <w:right w:val="single" w:color="auto" w:sz="4" w:space="0"/>
            </w:tcBorders>
            <w:vAlign w:val="center"/>
          </w:tcPr>
          <w:p w14:paraId="044BA001">
            <w:r>
              <w:rPr>
                <w:rFonts w:hint="eastAsia"/>
              </w:rPr>
              <w:t>备注</w:t>
            </w:r>
          </w:p>
        </w:tc>
      </w:tr>
      <w:tr w14:paraId="46CB0E37">
        <w:tblPrEx>
          <w:tblCellMar>
            <w:top w:w="0" w:type="dxa"/>
            <w:left w:w="108" w:type="dxa"/>
            <w:bottom w:w="0" w:type="dxa"/>
            <w:right w:w="108" w:type="dxa"/>
          </w:tblCellMar>
        </w:tblPrEx>
        <w:trPr>
          <w:trHeight w:val="540" w:hRule="atLeast"/>
          <w:jc w:val="center"/>
        </w:trPr>
        <w:tc>
          <w:tcPr>
            <w:tcW w:w="638" w:type="dxa"/>
            <w:tcBorders>
              <w:top w:val="nil"/>
              <w:left w:val="nil"/>
              <w:bottom w:val="single" w:color="auto" w:sz="4" w:space="0"/>
              <w:right w:val="single" w:color="auto" w:sz="4" w:space="0"/>
            </w:tcBorders>
            <w:noWrap/>
            <w:vAlign w:val="center"/>
          </w:tcPr>
          <w:p w14:paraId="73D9C276">
            <w:r>
              <w:rPr>
                <w:rFonts w:hint="eastAsia"/>
                <w:lang w:eastAsia="zh-CN"/>
              </w:rPr>
              <w:t>垂直</w:t>
            </w:r>
            <w:r>
              <w:rPr>
                <w:rFonts w:hint="eastAsia"/>
              </w:rPr>
              <w:t>杂物电梯</w:t>
            </w:r>
          </w:p>
        </w:tc>
        <w:tc>
          <w:tcPr>
            <w:tcW w:w="587" w:type="dxa"/>
            <w:tcBorders>
              <w:top w:val="nil"/>
              <w:left w:val="nil"/>
              <w:bottom w:val="single" w:color="auto" w:sz="4" w:space="0"/>
              <w:right w:val="single" w:color="auto" w:sz="4" w:space="0"/>
            </w:tcBorders>
            <w:noWrap/>
            <w:vAlign w:val="center"/>
          </w:tcPr>
          <w:p w14:paraId="04060B67">
            <w:r>
              <w:rPr>
                <w:rFonts w:hint="eastAsia"/>
              </w:rPr>
              <w:t>320</w:t>
            </w:r>
          </w:p>
        </w:tc>
        <w:tc>
          <w:tcPr>
            <w:tcW w:w="641" w:type="dxa"/>
            <w:tcBorders>
              <w:top w:val="nil"/>
              <w:left w:val="nil"/>
              <w:bottom w:val="single" w:color="auto" w:sz="4" w:space="0"/>
              <w:right w:val="single" w:color="auto" w:sz="4" w:space="0"/>
            </w:tcBorders>
            <w:noWrap/>
            <w:vAlign w:val="center"/>
          </w:tcPr>
          <w:p w14:paraId="76F01C7F">
            <w:r>
              <w:rPr>
                <w:rFonts w:hint="eastAsia"/>
              </w:rPr>
              <w:t>2000</w:t>
            </w:r>
          </w:p>
        </w:tc>
        <w:tc>
          <w:tcPr>
            <w:tcW w:w="709" w:type="dxa"/>
            <w:tcBorders>
              <w:top w:val="nil"/>
              <w:left w:val="nil"/>
              <w:bottom w:val="single" w:color="auto" w:sz="4" w:space="0"/>
              <w:right w:val="single" w:color="auto" w:sz="4" w:space="0"/>
            </w:tcBorders>
            <w:noWrap/>
            <w:vAlign w:val="center"/>
          </w:tcPr>
          <w:p w14:paraId="7482292C">
            <w:r>
              <w:rPr>
                <w:rFonts w:hint="eastAsia"/>
              </w:rPr>
              <w:t>1800</w:t>
            </w:r>
          </w:p>
        </w:tc>
        <w:tc>
          <w:tcPr>
            <w:tcW w:w="736" w:type="dxa"/>
            <w:tcBorders>
              <w:top w:val="nil"/>
              <w:left w:val="nil"/>
              <w:bottom w:val="single" w:color="auto" w:sz="4" w:space="0"/>
              <w:right w:val="single" w:color="auto" w:sz="4" w:space="0"/>
            </w:tcBorders>
            <w:vAlign w:val="center"/>
          </w:tcPr>
          <w:p w14:paraId="407272B2">
            <w:r>
              <w:rPr>
                <w:rFonts w:hint="eastAsia"/>
              </w:rPr>
              <w:t>1300</w:t>
            </w:r>
          </w:p>
        </w:tc>
        <w:tc>
          <w:tcPr>
            <w:tcW w:w="1214" w:type="dxa"/>
            <w:tcBorders>
              <w:top w:val="nil"/>
              <w:left w:val="nil"/>
              <w:bottom w:val="single" w:color="auto" w:sz="4" w:space="0"/>
              <w:right w:val="single" w:color="auto" w:sz="4" w:space="0"/>
            </w:tcBorders>
            <w:vAlign w:val="center"/>
          </w:tcPr>
          <w:p w14:paraId="01A6FE4B">
            <w:r>
              <w:rPr>
                <w:rFonts w:hint="eastAsia"/>
              </w:rPr>
              <w:t>4500（净高4300）</w:t>
            </w:r>
          </w:p>
        </w:tc>
        <w:tc>
          <w:tcPr>
            <w:tcW w:w="777" w:type="dxa"/>
            <w:tcBorders>
              <w:top w:val="nil"/>
              <w:left w:val="nil"/>
              <w:bottom w:val="single" w:color="auto" w:sz="4" w:space="0"/>
              <w:right w:val="single" w:color="auto" w:sz="4" w:space="0"/>
            </w:tcBorders>
            <w:noWrap/>
            <w:vAlign w:val="center"/>
          </w:tcPr>
          <w:p w14:paraId="1951BB0B">
            <w:r>
              <w:rPr>
                <w:rFonts w:hint="eastAsia"/>
              </w:rPr>
              <w:t>无机房</w:t>
            </w:r>
          </w:p>
        </w:tc>
        <w:tc>
          <w:tcPr>
            <w:tcW w:w="900" w:type="dxa"/>
            <w:tcBorders>
              <w:top w:val="nil"/>
              <w:left w:val="nil"/>
              <w:bottom w:val="single" w:color="auto" w:sz="4" w:space="0"/>
              <w:right w:val="single" w:color="auto" w:sz="4" w:space="0"/>
            </w:tcBorders>
            <w:vAlign w:val="center"/>
          </w:tcPr>
          <w:p w14:paraId="525AE6DD">
            <w:r>
              <w:rPr>
                <w:rFonts w:hint="eastAsia"/>
              </w:rPr>
              <w:t>1F~2F</w:t>
            </w:r>
          </w:p>
        </w:tc>
        <w:tc>
          <w:tcPr>
            <w:tcW w:w="559" w:type="dxa"/>
            <w:tcBorders>
              <w:top w:val="nil"/>
              <w:left w:val="nil"/>
              <w:bottom w:val="single" w:color="auto" w:sz="4" w:space="0"/>
              <w:right w:val="single" w:color="auto" w:sz="4" w:space="0"/>
            </w:tcBorders>
            <w:vAlign w:val="center"/>
          </w:tcPr>
          <w:p w14:paraId="04578C6C">
            <w:r>
              <w:rPr>
                <w:rFonts w:hint="eastAsia"/>
              </w:rPr>
              <w:t>9.5</w:t>
            </w:r>
          </w:p>
        </w:tc>
        <w:tc>
          <w:tcPr>
            <w:tcW w:w="709" w:type="dxa"/>
            <w:tcBorders>
              <w:top w:val="nil"/>
              <w:left w:val="nil"/>
              <w:bottom w:val="single" w:color="auto" w:sz="4" w:space="0"/>
              <w:right w:val="single" w:color="auto" w:sz="4" w:space="0"/>
            </w:tcBorders>
            <w:vAlign w:val="center"/>
          </w:tcPr>
          <w:p w14:paraId="2DB2C06F">
            <w:r>
              <w:rPr>
                <w:rFonts w:hint="eastAsia"/>
              </w:rPr>
              <w:t>单控</w:t>
            </w:r>
          </w:p>
        </w:tc>
        <w:tc>
          <w:tcPr>
            <w:tcW w:w="462" w:type="dxa"/>
            <w:tcBorders>
              <w:top w:val="nil"/>
              <w:left w:val="nil"/>
              <w:bottom w:val="single" w:color="auto" w:sz="4" w:space="0"/>
              <w:right w:val="single" w:color="auto" w:sz="4" w:space="0"/>
            </w:tcBorders>
            <w:noWrap/>
            <w:vAlign w:val="center"/>
          </w:tcPr>
          <w:p w14:paraId="3D8D3AD1"/>
        </w:tc>
      </w:tr>
    </w:tbl>
    <w:p w14:paraId="19EA7619">
      <w:pPr>
        <w:pStyle w:val="2"/>
        <w:ind w:firstLine="480"/>
      </w:pPr>
    </w:p>
    <w:p w14:paraId="7ED72464">
      <w:r>
        <w:rPr>
          <w:rFonts w:hint="eastAsia"/>
        </w:rPr>
        <w:t>（二）基本要求：</w:t>
      </w:r>
    </w:p>
    <w:p w14:paraId="1E9BFABB">
      <w:r>
        <w:t>A</w:t>
      </w:r>
      <w:r>
        <w:rPr>
          <w:rFonts w:hint="eastAsia"/>
        </w:rPr>
        <w:t>、垂直</w:t>
      </w:r>
      <w:r>
        <w:rPr>
          <w:rFonts w:hint="eastAsia"/>
          <w:lang w:eastAsia="zh-CN"/>
        </w:rPr>
        <w:t>杂物</w:t>
      </w:r>
      <w:r>
        <w:rPr>
          <w:rFonts w:hint="eastAsia"/>
        </w:rPr>
        <w:t>电梯</w:t>
      </w:r>
    </w:p>
    <w:p w14:paraId="60EE88B6">
      <w:r>
        <w:rPr>
          <w:rFonts w:hint="eastAsia"/>
        </w:rPr>
        <w:t>1、技术要求：见技术参数表。</w:t>
      </w:r>
    </w:p>
    <w:p w14:paraId="39FF9179">
      <w:r>
        <w:rPr>
          <w:rFonts w:hint="eastAsia"/>
        </w:rPr>
        <w:t>2、数量：详见清单</w:t>
      </w:r>
    </w:p>
    <w:p w14:paraId="1C7CA341">
      <w:r>
        <w:rPr>
          <w:rFonts w:hint="eastAsia"/>
        </w:rPr>
        <w:t>3、曳引驱动系统：</w:t>
      </w:r>
    </w:p>
    <w:p w14:paraId="748FB559">
      <w:r>
        <w:rPr>
          <w:rFonts w:hint="eastAsia"/>
        </w:rPr>
        <w:t>A、永磁同步曳引机</w:t>
      </w:r>
    </w:p>
    <w:p w14:paraId="482D1523">
      <w:r>
        <w:rPr>
          <w:rFonts w:hint="eastAsia"/>
        </w:rPr>
        <w:t xml:space="preserve">B、传动方式：无齿传动                               </w:t>
      </w:r>
    </w:p>
    <w:p w14:paraId="0490B8A9">
      <w:r>
        <w:rPr>
          <w:rFonts w:hint="eastAsia"/>
        </w:rPr>
        <w:t xml:space="preserve">4、额定载重量(kg) ：见技术参数表                         </w:t>
      </w:r>
    </w:p>
    <w:p w14:paraId="3F08CFCF">
      <w:r>
        <w:rPr>
          <w:rFonts w:hint="eastAsia"/>
        </w:rPr>
        <w:t>5、层站及总行程：见技术参数表</w:t>
      </w:r>
    </w:p>
    <w:p w14:paraId="50191CAD">
      <w:r>
        <w:rPr>
          <w:rFonts w:hint="eastAsia"/>
        </w:rPr>
        <w:t>6、额定速度(m/s)：见技术参数表</w:t>
      </w:r>
    </w:p>
    <w:p w14:paraId="6E6E08F0">
      <w:r>
        <w:rPr>
          <w:rFonts w:hint="eastAsia"/>
        </w:rPr>
        <w:t>7、驱动方式：</w:t>
      </w:r>
    </w:p>
    <w:p w14:paraId="0E59D534">
      <w:r>
        <w:rPr>
          <w:rFonts w:hint="eastAsia"/>
        </w:rPr>
        <w:t>7.1矢量控制的VVVF交流变频变压调速系统</w:t>
      </w:r>
    </w:p>
    <w:p w14:paraId="2754E2AA">
      <w:r>
        <w:rPr>
          <w:rFonts w:hint="eastAsia"/>
        </w:rPr>
        <w:t>7.2有高次谐波补偿器</w:t>
      </w:r>
    </w:p>
    <w:p w14:paraId="7E886520">
      <w:r>
        <w:rPr>
          <w:rFonts w:hint="eastAsia"/>
        </w:rPr>
        <w:t>8、控制方式： 智能模块化控制系统</w:t>
      </w:r>
    </w:p>
    <w:p w14:paraId="519C86DE">
      <w:r>
        <w:rPr>
          <w:rFonts w:hint="eastAsia"/>
        </w:rPr>
        <w:t xml:space="preserve">9、供电电源 ：①交流三相 380伏±7%  . 50赫兹    </w:t>
      </w:r>
    </w:p>
    <w:p w14:paraId="7CEED16E">
      <w:r>
        <w:rPr>
          <w:rFonts w:hint="eastAsia"/>
        </w:rPr>
        <w:t xml:space="preserve">    ②单相 220伏±7%  . 50赫兹 </w:t>
      </w:r>
    </w:p>
    <w:p w14:paraId="70E5608B">
      <w:r>
        <w:rPr>
          <w:rFonts w:hint="eastAsia"/>
        </w:rPr>
        <w:t xml:space="preserve">10、平层精度（mm）：  +/-5mm  </w:t>
      </w:r>
    </w:p>
    <w:p w14:paraId="2AB5B0CE">
      <w:r>
        <w:rPr>
          <w:rFonts w:hint="eastAsia"/>
        </w:rPr>
        <w:t xml:space="preserve">    运行震动：水平≤15gal（o-p），垂直≤25gal（o-p）</w:t>
      </w:r>
    </w:p>
    <w:p w14:paraId="174C8F80">
      <w:r>
        <w:rPr>
          <w:rFonts w:hint="eastAsia"/>
        </w:rPr>
        <w:t xml:space="preserve">    噪音：轿厢内≤55dB(A)，机房内≤65dB(A</w:t>
      </w:r>
    </w:p>
    <w:p w14:paraId="6F29F1F8">
      <w:r>
        <w:rPr>
          <w:rFonts w:hint="eastAsia"/>
        </w:rPr>
        <w:t>11、井道尺寸 (mm)：见技术参数表</w:t>
      </w:r>
    </w:p>
    <w:p w14:paraId="3734BA72">
      <w:r>
        <w:rPr>
          <w:rFonts w:hint="eastAsia"/>
        </w:rPr>
        <w:t xml:space="preserve">12、底坑深度（mm）：见技术参数表                      </w:t>
      </w:r>
    </w:p>
    <w:p w14:paraId="7CE16AEC">
      <w:r>
        <w:rPr>
          <w:rFonts w:hint="eastAsia"/>
        </w:rPr>
        <w:t>13、开门方式：见技术参数表</w:t>
      </w:r>
    </w:p>
    <w:p w14:paraId="50E21A46">
      <w:r>
        <w:rPr>
          <w:rFonts w:hint="eastAsia"/>
        </w:rPr>
        <w:t>14、开门净尺寸(mm)：见技术参数表</w:t>
      </w:r>
    </w:p>
    <w:p w14:paraId="36CD22DA">
      <w:r>
        <w:rPr>
          <w:rFonts w:hint="eastAsia"/>
        </w:rPr>
        <w:t>（三）电梯功能要求</w:t>
      </w:r>
    </w:p>
    <w:p w14:paraId="0F7FDBFC">
      <w:r>
        <w:rPr>
          <w:rFonts w:hint="eastAsia"/>
        </w:rPr>
        <w:t>1、提供生产厂家的标配功能；</w:t>
      </w:r>
    </w:p>
    <w:p w14:paraId="37270F04">
      <w:r>
        <w:rPr>
          <w:rFonts w:hint="eastAsia"/>
        </w:rPr>
        <w:t>2、需满足下列功能</w:t>
      </w:r>
    </w:p>
    <w:tbl>
      <w:tblPr>
        <w:tblStyle w:val="13"/>
        <w:tblW w:w="9285" w:type="dxa"/>
        <w:tblInd w:w="0" w:type="dxa"/>
        <w:tblLayout w:type="fixed"/>
        <w:tblCellMar>
          <w:top w:w="0" w:type="dxa"/>
          <w:left w:w="108" w:type="dxa"/>
          <w:bottom w:w="0" w:type="dxa"/>
          <w:right w:w="108" w:type="dxa"/>
        </w:tblCellMar>
      </w:tblPr>
      <w:tblGrid>
        <w:gridCol w:w="1952"/>
        <w:gridCol w:w="5174"/>
        <w:gridCol w:w="2159"/>
      </w:tblGrid>
      <w:tr w14:paraId="49C477BF">
        <w:tblPrEx>
          <w:tblCellMar>
            <w:top w:w="0" w:type="dxa"/>
            <w:left w:w="108" w:type="dxa"/>
            <w:bottom w:w="0" w:type="dxa"/>
            <w:right w:w="108" w:type="dxa"/>
          </w:tblCellMar>
        </w:tblPrEx>
        <w:trPr>
          <w:trHeight w:val="340" w:hRule="atLeast"/>
        </w:trPr>
        <w:tc>
          <w:tcPr>
            <w:tcW w:w="1952" w:type="dxa"/>
            <w:vMerge w:val="restart"/>
            <w:tcBorders>
              <w:top w:val="single" w:color="auto" w:sz="4" w:space="0"/>
              <w:left w:val="single" w:color="auto" w:sz="4" w:space="0"/>
              <w:bottom w:val="single" w:color="auto" w:sz="4" w:space="0"/>
              <w:right w:val="single" w:color="auto" w:sz="4" w:space="0"/>
            </w:tcBorders>
            <w:vAlign w:val="center"/>
          </w:tcPr>
          <w:p w14:paraId="7077D654">
            <w:r>
              <w:rPr>
                <w:rFonts w:hint="eastAsia"/>
              </w:rPr>
              <w:t>基本功能设置</w:t>
            </w:r>
          </w:p>
        </w:tc>
        <w:tc>
          <w:tcPr>
            <w:tcW w:w="5174" w:type="dxa"/>
            <w:tcBorders>
              <w:top w:val="single" w:color="auto" w:sz="4" w:space="0"/>
              <w:left w:val="nil"/>
              <w:bottom w:val="single" w:color="auto" w:sz="4" w:space="0"/>
              <w:right w:val="single" w:color="auto" w:sz="4" w:space="0"/>
            </w:tcBorders>
            <w:vAlign w:val="center"/>
          </w:tcPr>
          <w:p w14:paraId="40665877">
            <w:r>
              <w:rPr>
                <w:rFonts w:hint="eastAsia"/>
              </w:rPr>
              <w:t>全集选控制运行功能</w:t>
            </w:r>
          </w:p>
        </w:tc>
        <w:tc>
          <w:tcPr>
            <w:tcW w:w="2159" w:type="dxa"/>
            <w:tcBorders>
              <w:top w:val="single" w:color="auto" w:sz="4" w:space="0"/>
              <w:left w:val="nil"/>
              <w:bottom w:val="single" w:color="auto" w:sz="4" w:space="0"/>
              <w:right w:val="single" w:color="auto" w:sz="4" w:space="0"/>
            </w:tcBorders>
            <w:vAlign w:val="center"/>
          </w:tcPr>
          <w:p w14:paraId="315CA220"/>
        </w:tc>
      </w:tr>
      <w:tr w14:paraId="10B298D9">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1132B73A"/>
        </w:tc>
        <w:tc>
          <w:tcPr>
            <w:tcW w:w="5174" w:type="dxa"/>
            <w:tcBorders>
              <w:top w:val="single" w:color="auto" w:sz="4" w:space="0"/>
              <w:left w:val="nil"/>
              <w:bottom w:val="single" w:color="auto" w:sz="4" w:space="0"/>
              <w:right w:val="single" w:color="auto" w:sz="4" w:space="0"/>
            </w:tcBorders>
            <w:vAlign w:val="center"/>
          </w:tcPr>
          <w:p w14:paraId="61ABE191">
            <w:r>
              <w:rPr>
                <w:rFonts w:hint="eastAsia"/>
              </w:rPr>
              <w:t>超载保护功能</w:t>
            </w:r>
          </w:p>
        </w:tc>
        <w:tc>
          <w:tcPr>
            <w:tcW w:w="2159" w:type="dxa"/>
            <w:tcBorders>
              <w:top w:val="single" w:color="auto" w:sz="4" w:space="0"/>
              <w:left w:val="nil"/>
              <w:bottom w:val="single" w:color="auto" w:sz="4" w:space="0"/>
              <w:right w:val="single" w:color="auto" w:sz="4" w:space="0"/>
            </w:tcBorders>
            <w:vAlign w:val="center"/>
          </w:tcPr>
          <w:p w14:paraId="19F96C0B"/>
        </w:tc>
      </w:tr>
      <w:tr w14:paraId="0A29E117">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2E9E6ED0"/>
        </w:tc>
        <w:tc>
          <w:tcPr>
            <w:tcW w:w="5174" w:type="dxa"/>
            <w:tcBorders>
              <w:top w:val="single" w:color="auto" w:sz="4" w:space="0"/>
              <w:left w:val="nil"/>
              <w:bottom w:val="single" w:color="auto" w:sz="4" w:space="0"/>
              <w:right w:val="single" w:color="auto" w:sz="4" w:space="0"/>
            </w:tcBorders>
            <w:vAlign w:val="center"/>
          </w:tcPr>
          <w:p w14:paraId="0F0DDAF6">
            <w:r>
              <w:rPr>
                <w:rFonts w:hint="eastAsia"/>
              </w:rPr>
              <w:t>超载报警功能</w:t>
            </w:r>
          </w:p>
        </w:tc>
        <w:tc>
          <w:tcPr>
            <w:tcW w:w="2159" w:type="dxa"/>
            <w:tcBorders>
              <w:top w:val="single" w:color="auto" w:sz="4" w:space="0"/>
              <w:left w:val="nil"/>
              <w:bottom w:val="single" w:color="auto" w:sz="4" w:space="0"/>
              <w:right w:val="single" w:color="auto" w:sz="4" w:space="0"/>
            </w:tcBorders>
            <w:vAlign w:val="center"/>
          </w:tcPr>
          <w:p w14:paraId="2195C817"/>
        </w:tc>
      </w:tr>
      <w:tr w14:paraId="02DE426E">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03ACF4D1"/>
        </w:tc>
        <w:tc>
          <w:tcPr>
            <w:tcW w:w="5174" w:type="dxa"/>
            <w:tcBorders>
              <w:top w:val="single" w:color="auto" w:sz="4" w:space="0"/>
              <w:left w:val="nil"/>
              <w:bottom w:val="single" w:color="auto" w:sz="4" w:space="0"/>
              <w:right w:val="single" w:color="auto" w:sz="4" w:space="0"/>
            </w:tcBorders>
            <w:vAlign w:val="center"/>
          </w:tcPr>
          <w:p w14:paraId="1D38B804">
            <w:r>
              <w:rPr>
                <w:rFonts w:hint="eastAsia"/>
              </w:rPr>
              <w:t>超速电气保护功能</w:t>
            </w:r>
          </w:p>
        </w:tc>
        <w:tc>
          <w:tcPr>
            <w:tcW w:w="2159" w:type="dxa"/>
            <w:tcBorders>
              <w:top w:val="single" w:color="auto" w:sz="4" w:space="0"/>
              <w:left w:val="nil"/>
              <w:bottom w:val="single" w:color="auto" w:sz="4" w:space="0"/>
              <w:right w:val="single" w:color="auto" w:sz="4" w:space="0"/>
            </w:tcBorders>
            <w:vAlign w:val="center"/>
          </w:tcPr>
          <w:p w14:paraId="23F82CE0"/>
        </w:tc>
      </w:tr>
      <w:tr w14:paraId="6AC319B8">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23A71A27"/>
        </w:tc>
        <w:tc>
          <w:tcPr>
            <w:tcW w:w="5174" w:type="dxa"/>
            <w:tcBorders>
              <w:top w:val="single" w:color="auto" w:sz="4" w:space="0"/>
              <w:left w:val="nil"/>
              <w:bottom w:val="single" w:color="auto" w:sz="4" w:space="0"/>
              <w:right w:val="single" w:color="auto" w:sz="4" w:space="0"/>
            </w:tcBorders>
            <w:vAlign w:val="center"/>
          </w:tcPr>
          <w:p w14:paraId="5CA319BE">
            <w:r>
              <w:rPr>
                <w:rFonts w:hint="eastAsia"/>
              </w:rPr>
              <w:t>超速机械保护功能</w:t>
            </w:r>
          </w:p>
        </w:tc>
        <w:tc>
          <w:tcPr>
            <w:tcW w:w="2159" w:type="dxa"/>
            <w:tcBorders>
              <w:top w:val="single" w:color="auto" w:sz="4" w:space="0"/>
              <w:left w:val="nil"/>
              <w:bottom w:val="single" w:color="auto" w:sz="4" w:space="0"/>
              <w:right w:val="single" w:color="auto" w:sz="4" w:space="0"/>
            </w:tcBorders>
            <w:vAlign w:val="center"/>
          </w:tcPr>
          <w:p w14:paraId="781F7B1E"/>
        </w:tc>
      </w:tr>
      <w:tr w14:paraId="09E0E3D7">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59BE905E"/>
        </w:tc>
        <w:tc>
          <w:tcPr>
            <w:tcW w:w="5174" w:type="dxa"/>
            <w:tcBorders>
              <w:top w:val="single" w:color="auto" w:sz="4" w:space="0"/>
              <w:left w:val="nil"/>
              <w:bottom w:val="single" w:color="auto" w:sz="4" w:space="0"/>
              <w:right w:val="single" w:color="auto" w:sz="4" w:space="0"/>
            </w:tcBorders>
            <w:vAlign w:val="center"/>
          </w:tcPr>
          <w:p w14:paraId="7EB54EE5">
            <w:r>
              <w:rPr>
                <w:rFonts w:hint="eastAsia"/>
              </w:rPr>
              <w:t>开关门时间延长功能</w:t>
            </w:r>
          </w:p>
        </w:tc>
        <w:tc>
          <w:tcPr>
            <w:tcW w:w="2159" w:type="dxa"/>
            <w:tcBorders>
              <w:top w:val="single" w:color="auto" w:sz="4" w:space="0"/>
              <w:left w:val="nil"/>
              <w:bottom w:val="single" w:color="auto" w:sz="4" w:space="0"/>
              <w:right w:val="single" w:color="auto" w:sz="4" w:space="0"/>
            </w:tcBorders>
            <w:vAlign w:val="center"/>
          </w:tcPr>
          <w:p w14:paraId="0CA0A4DA"/>
        </w:tc>
      </w:tr>
      <w:tr w14:paraId="5DB70E0F">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13915BC4"/>
        </w:tc>
        <w:tc>
          <w:tcPr>
            <w:tcW w:w="5174" w:type="dxa"/>
            <w:tcBorders>
              <w:top w:val="single" w:color="auto" w:sz="4" w:space="0"/>
              <w:left w:val="nil"/>
              <w:bottom w:val="single" w:color="auto" w:sz="4" w:space="0"/>
              <w:right w:val="single" w:color="auto" w:sz="4" w:space="0"/>
            </w:tcBorders>
            <w:vAlign w:val="center"/>
          </w:tcPr>
          <w:p w14:paraId="4A7A2B92">
            <w:r>
              <w:rPr>
                <w:rFonts w:hint="eastAsia"/>
              </w:rPr>
              <w:t>开门异常自动选层功能</w:t>
            </w:r>
          </w:p>
        </w:tc>
        <w:tc>
          <w:tcPr>
            <w:tcW w:w="2159" w:type="dxa"/>
            <w:tcBorders>
              <w:top w:val="single" w:color="auto" w:sz="4" w:space="0"/>
              <w:left w:val="nil"/>
              <w:bottom w:val="single" w:color="auto" w:sz="4" w:space="0"/>
              <w:right w:val="single" w:color="auto" w:sz="4" w:space="0"/>
            </w:tcBorders>
            <w:vAlign w:val="center"/>
          </w:tcPr>
          <w:p w14:paraId="4BE650D0"/>
        </w:tc>
      </w:tr>
      <w:tr w14:paraId="4B36C6A0">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52A32EC3"/>
        </w:tc>
        <w:tc>
          <w:tcPr>
            <w:tcW w:w="5174" w:type="dxa"/>
            <w:tcBorders>
              <w:top w:val="single" w:color="auto" w:sz="4" w:space="0"/>
              <w:left w:val="nil"/>
              <w:bottom w:val="single" w:color="auto" w:sz="4" w:space="0"/>
              <w:right w:val="single" w:color="auto" w:sz="4" w:space="0"/>
            </w:tcBorders>
            <w:vAlign w:val="center"/>
          </w:tcPr>
          <w:p w14:paraId="5945DC75">
            <w:r>
              <w:rPr>
                <w:rFonts w:hint="eastAsia"/>
              </w:rPr>
              <w:t>电动机保护功能</w:t>
            </w:r>
          </w:p>
        </w:tc>
        <w:tc>
          <w:tcPr>
            <w:tcW w:w="2159" w:type="dxa"/>
            <w:tcBorders>
              <w:top w:val="single" w:color="auto" w:sz="4" w:space="0"/>
              <w:left w:val="nil"/>
              <w:bottom w:val="single" w:color="auto" w:sz="4" w:space="0"/>
              <w:right w:val="single" w:color="auto" w:sz="4" w:space="0"/>
            </w:tcBorders>
            <w:vAlign w:val="center"/>
          </w:tcPr>
          <w:p w14:paraId="68276ABD"/>
        </w:tc>
      </w:tr>
      <w:tr w14:paraId="6B73E734">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383E5F91"/>
        </w:tc>
        <w:tc>
          <w:tcPr>
            <w:tcW w:w="5174" w:type="dxa"/>
            <w:tcBorders>
              <w:top w:val="single" w:color="auto" w:sz="4" w:space="0"/>
              <w:left w:val="nil"/>
              <w:bottom w:val="single" w:color="auto" w:sz="4" w:space="0"/>
              <w:right w:val="single" w:color="auto" w:sz="4" w:space="0"/>
            </w:tcBorders>
            <w:vAlign w:val="center"/>
          </w:tcPr>
          <w:p w14:paraId="4BE51D35">
            <w:r>
              <w:rPr>
                <w:rFonts w:hint="eastAsia"/>
              </w:rPr>
              <w:t>警铃报警功能</w:t>
            </w:r>
          </w:p>
        </w:tc>
        <w:tc>
          <w:tcPr>
            <w:tcW w:w="2159" w:type="dxa"/>
            <w:tcBorders>
              <w:top w:val="single" w:color="auto" w:sz="4" w:space="0"/>
              <w:left w:val="nil"/>
              <w:bottom w:val="single" w:color="auto" w:sz="4" w:space="0"/>
              <w:right w:val="single" w:color="auto" w:sz="4" w:space="0"/>
            </w:tcBorders>
            <w:vAlign w:val="center"/>
          </w:tcPr>
          <w:p w14:paraId="2F9E6ACC"/>
        </w:tc>
      </w:tr>
      <w:tr w14:paraId="2A0A9FE0">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5879A096"/>
        </w:tc>
        <w:tc>
          <w:tcPr>
            <w:tcW w:w="5174" w:type="dxa"/>
            <w:tcBorders>
              <w:top w:val="single" w:color="auto" w:sz="4" w:space="0"/>
              <w:left w:val="nil"/>
              <w:bottom w:val="single" w:color="auto" w:sz="4" w:space="0"/>
              <w:right w:val="single" w:color="auto" w:sz="4" w:space="0"/>
            </w:tcBorders>
            <w:vAlign w:val="center"/>
          </w:tcPr>
          <w:p w14:paraId="4D128D82">
            <w:r>
              <w:rPr>
                <w:rFonts w:hint="eastAsia"/>
              </w:rPr>
              <w:t>位置异常自动校正功能</w:t>
            </w:r>
          </w:p>
        </w:tc>
        <w:tc>
          <w:tcPr>
            <w:tcW w:w="2159" w:type="dxa"/>
            <w:tcBorders>
              <w:top w:val="single" w:color="auto" w:sz="4" w:space="0"/>
              <w:left w:val="nil"/>
              <w:bottom w:val="single" w:color="auto" w:sz="4" w:space="0"/>
              <w:right w:val="single" w:color="auto" w:sz="4" w:space="0"/>
            </w:tcBorders>
            <w:vAlign w:val="center"/>
          </w:tcPr>
          <w:p w14:paraId="5BCB8719"/>
        </w:tc>
      </w:tr>
      <w:tr w14:paraId="688D8850">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74A42D63"/>
        </w:tc>
        <w:tc>
          <w:tcPr>
            <w:tcW w:w="5174" w:type="dxa"/>
            <w:tcBorders>
              <w:top w:val="single" w:color="auto" w:sz="4" w:space="0"/>
              <w:left w:val="nil"/>
              <w:bottom w:val="single" w:color="auto" w:sz="4" w:space="0"/>
              <w:right w:val="single" w:color="auto" w:sz="4" w:space="0"/>
            </w:tcBorders>
            <w:vAlign w:val="center"/>
          </w:tcPr>
          <w:p w14:paraId="596E2713">
            <w:r>
              <w:rPr>
                <w:rFonts w:hint="eastAsia"/>
              </w:rPr>
              <w:t>停电应急照明功能（满足消防要求）</w:t>
            </w:r>
          </w:p>
        </w:tc>
        <w:tc>
          <w:tcPr>
            <w:tcW w:w="2159" w:type="dxa"/>
            <w:tcBorders>
              <w:top w:val="single" w:color="auto" w:sz="4" w:space="0"/>
              <w:left w:val="nil"/>
              <w:bottom w:val="single" w:color="auto" w:sz="4" w:space="0"/>
              <w:right w:val="single" w:color="auto" w:sz="4" w:space="0"/>
            </w:tcBorders>
            <w:vAlign w:val="center"/>
          </w:tcPr>
          <w:p w14:paraId="71DDE455"/>
        </w:tc>
      </w:tr>
      <w:tr w14:paraId="157D6614">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18B35396"/>
        </w:tc>
        <w:tc>
          <w:tcPr>
            <w:tcW w:w="5174" w:type="dxa"/>
            <w:tcBorders>
              <w:top w:val="single" w:color="auto" w:sz="4" w:space="0"/>
              <w:left w:val="nil"/>
              <w:bottom w:val="single" w:color="auto" w:sz="4" w:space="0"/>
              <w:right w:val="single" w:color="auto" w:sz="4" w:space="0"/>
            </w:tcBorders>
            <w:vAlign w:val="center"/>
          </w:tcPr>
          <w:p w14:paraId="329A51E6">
            <w:r>
              <w:rPr>
                <w:rFonts w:hint="eastAsia"/>
              </w:rPr>
              <w:t>轿顶检修操作功能</w:t>
            </w:r>
          </w:p>
        </w:tc>
        <w:tc>
          <w:tcPr>
            <w:tcW w:w="2159" w:type="dxa"/>
            <w:tcBorders>
              <w:top w:val="single" w:color="auto" w:sz="4" w:space="0"/>
              <w:left w:val="nil"/>
              <w:bottom w:val="single" w:color="auto" w:sz="4" w:space="0"/>
              <w:right w:val="single" w:color="auto" w:sz="4" w:space="0"/>
            </w:tcBorders>
            <w:vAlign w:val="center"/>
          </w:tcPr>
          <w:p w14:paraId="6544A511"/>
        </w:tc>
      </w:tr>
      <w:tr w14:paraId="10740E23">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06C1CC22"/>
        </w:tc>
        <w:tc>
          <w:tcPr>
            <w:tcW w:w="5174" w:type="dxa"/>
            <w:tcBorders>
              <w:top w:val="single" w:color="auto" w:sz="4" w:space="0"/>
              <w:left w:val="nil"/>
              <w:bottom w:val="single" w:color="auto" w:sz="4" w:space="0"/>
              <w:right w:val="single" w:color="auto" w:sz="4" w:space="0"/>
            </w:tcBorders>
            <w:vAlign w:val="center"/>
          </w:tcPr>
          <w:p w14:paraId="53C0F709">
            <w:r>
              <w:rPr>
                <w:rFonts w:hint="eastAsia"/>
              </w:rPr>
              <w:t>机房内检修操作功能</w:t>
            </w:r>
          </w:p>
        </w:tc>
        <w:tc>
          <w:tcPr>
            <w:tcW w:w="2159" w:type="dxa"/>
            <w:tcBorders>
              <w:top w:val="single" w:color="auto" w:sz="4" w:space="0"/>
              <w:left w:val="nil"/>
              <w:bottom w:val="single" w:color="auto" w:sz="4" w:space="0"/>
              <w:right w:val="single" w:color="auto" w:sz="4" w:space="0"/>
            </w:tcBorders>
            <w:vAlign w:val="center"/>
          </w:tcPr>
          <w:p w14:paraId="2CD20770"/>
        </w:tc>
      </w:tr>
      <w:tr w14:paraId="1A68311D">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23BBBD30"/>
        </w:tc>
        <w:tc>
          <w:tcPr>
            <w:tcW w:w="5174" w:type="dxa"/>
            <w:tcBorders>
              <w:top w:val="single" w:color="auto" w:sz="4" w:space="0"/>
              <w:left w:val="nil"/>
              <w:bottom w:val="single" w:color="auto" w:sz="4" w:space="0"/>
              <w:right w:val="single" w:color="auto" w:sz="4" w:space="0"/>
            </w:tcBorders>
            <w:vAlign w:val="center"/>
          </w:tcPr>
          <w:p w14:paraId="7455A9B5">
            <w:r>
              <w:rPr>
                <w:rFonts w:hint="eastAsia"/>
              </w:rPr>
              <w:t>运行次数显示功能</w:t>
            </w:r>
          </w:p>
        </w:tc>
        <w:tc>
          <w:tcPr>
            <w:tcW w:w="2159" w:type="dxa"/>
            <w:tcBorders>
              <w:top w:val="single" w:color="auto" w:sz="4" w:space="0"/>
              <w:left w:val="nil"/>
              <w:bottom w:val="single" w:color="auto" w:sz="4" w:space="0"/>
              <w:right w:val="single" w:color="auto" w:sz="4" w:space="0"/>
            </w:tcBorders>
            <w:vAlign w:val="center"/>
          </w:tcPr>
          <w:p w14:paraId="155C8BB4"/>
        </w:tc>
      </w:tr>
      <w:tr w14:paraId="7B9CFC31">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722B795A"/>
        </w:tc>
        <w:tc>
          <w:tcPr>
            <w:tcW w:w="5174" w:type="dxa"/>
            <w:tcBorders>
              <w:top w:val="single" w:color="auto" w:sz="4" w:space="0"/>
              <w:left w:val="nil"/>
              <w:bottom w:val="single" w:color="auto" w:sz="4" w:space="0"/>
              <w:right w:val="single" w:color="auto" w:sz="4" w:space="0"/>
            </w:tcBorders>
            <w:vAlign w:val="center"/>
          </w:tcPr>
          <w:p w14:paraId="08DB5953">
            <w:r>
              <w:rPr>
                <w:rFonts w:hint="eastAsia"/>
              </w:rPr>
              <w:t>反向内指令自动取消功能</w:t>
            </w:r>
          </w:p>
        </w:tc>
        <w:tc>
          <w:tcPr>
            <w:tcW w:w="2159" w:type="dxa"/>
            <w:tcBorders>
              <w:top w:val="single" w:color="auto" w:sz="4" w:space="0"/>
              <w:left w:val="nil"/>
              <w:bottom w:val="single" w:color="auto" w:sz="4" w:space="0"/>
              <w:right w:val="single" w:color="auto" w:sz="4" w:space="0"/>
            </w:tcBorders>
            <w:vAlign w:val="center"/>
          </w:tcPr>
          <w:p w14:paraId="61FE80B8"/>
        </w:tc>
      </w:tr>
      <w:tr w14:paraId="4E6081D7">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5083CC7A"/>
        </w:tc>
        <w:tc>
          <w:tcPr>
            <w:tcW w:w="5174" w:type="dxa"/>
            <w:tcBorders>
              <w:top w:val="single" w:color="auto" w:sz="4" w:space="0"/>
              <w:left w:val="nil"/>
              <w:bottom w:val="single" w:color="auto" w:sz="4" w:space="0"/>
              <w:right w:val="single" w:color="auto" w:sz="4" w:space="0"/>
            </w:tcBorders>
            <w:vAlign w:val="center"/>
          </w:tcPr>
          <w:p w14:paraId="6B4834B7">
            <w:r>
              <w:rPr>
                <w:rFonts w:hint="eastAsia"/>
              </w:rPr>
              <w:t>开门时间自动调整功能</w:t>
            </w:r>
          </w:p>
        </w:tc>
        <w:tc>
          <w:tcPr>
            <w:tcW w:w="2159" w:type="dxa"/>
            <w:tcBorders>
              <w:top w:val="single" w:color="auto" w:sz="4" w:space="0"/>
              <w:left w:val="nil"/>
              <w:bottom w:val="single" w:color="auto" w:sz="4" w:space="0"/>
              <w:right w:val="single" w:color="auto" w:sz="4" w:space="0"/>
            </w:tcBorders>
            <w:vAlign w:val="center"/>
          </w:tcPr>
          <w:p w14:paraId="4C1B4CDC"/>
        </w:tc>
      </w:tr>
      <w:tr w14:paraId="3B78D6CA">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676200DA"/>
        </w:tc>
        <w:tc>
          <w:tcPr>
            <w:tcW w:w="5174" w:type="dxa"/>
            <w:tcBorders>
              <w:top w:val="single" w:color="auto" w:sz="4" w:space="0"/>
              <w:left w:val="nil"/>
              <w:bottom w:val="single" w:color="auto" w:sz="4" w:space="0"/>
              <w:right w:val="single" w:color="auto" w:sz="4" w:space="0"/>
            </w:tcBorders>
            <w:vAlign w:val="center"/>
          </w:tcPr>
          <w:p w14:paraId="35C78CAE">
            <w:r>
              <w:rPr>
                <w:rFonts w:hint="eastAsia"/>
              </w:rPr>
              <w:t>开门时间自动控制功能</w:t>
            </w:r>
          </w:p>
        </w:tc>
        <w:tc>
          <w:tcPr>
            <w:tcW w:w="2159" w:type="dxa"/>
            <w:tcBorders>
              <w:top w:val="single" w:color="auto" w:sz="4" w:space="0"/>
              <w:left w:val="nil"/>
              <w:bottom w:val="single" w:color="auto" w:sz="4" w:space="0"/>
              <w:right w:val="single" w:color="auto" w:sz="4" w:space="0"/>
            </w:tcBorders>
            <w:vAlign w:val="center"/>
          </w:tcPr>
          <w:p w14:paraId="436CAEC0"/>
        </w:tc>
      </w:tr>
      <w:tr w14:paraId="5C57E5E1">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25D4D176"/>
        </w:tc>
        <w:tc>
          <w:tcPr>
            <w:tcW w:w="5174" w:type="dxa"/>
            <w:tcBorders>
              <w:top w:val="single" w:color="auto" w:sz="4" w:space="0"/>
              <w:left w:val="nil"/>
              <w:bottom w:val="single" w:color="auto" w:sz="4" w:space="0"/>
              <w:right w:val="single" w:color="auto" w:sz="4" w:space="0"/>
            </w:tcBorders>
            <w:vAlign w:val="center"/>
          </w:tcPr>
          <w:p w14:paraId="707459AE">
            <w:r>
              <w:rPr>
                <w:rFonts w:hint="eastAsia"/>
              </w:rPr>
              <w:t>轿内照明自动控制功能</w:t>
            </w:r>
          </w:p>
        </w:tc>
        <w:tc>
          <w:tcPr>
            <w:tcW w:w="2159" w:type="dxa"/>
            <w:tcBorders>
              <w:top w:val="single" w:color="auto" w:sz="4" w:space="0"/>
              <w:left w:val="nil"/>
              <w:bottom w:val="single" w:color="auto" w:sz="4" w:space="0"/>
              <w:right w:val="single" w:color="auto" w:sz="4" w:space="0"/>
            </w:tcBorders>
            <w:vAlign w:val="center"/>
          </w:tcPr>
          <w:p w14:paraId="3AA162CB"/>
        </w:tc>
      </w:tr>
      <w:tr w14:paraId="598DDD27">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331AC44D"/>
        </w:tc>
        <w:tc>
          <w:tcPr>
            <w:tcW w:w="5174" w:type="dxa"/>
            <w:tcBorders>
              <w:top w:val="single" w:color="auto" w:sz="4" w:space="0"/>
              <w:left w:val="nil"/>
              <w:bottom w:val="single" w:color="auto" w:sz="4" w:space="0"/>
              <w:right w:val="single" w:color="auto" w:sz="4" w:space="0"/>
            </w:tcBorders>
            <w:vAlign w:val="center"/>
          </w:tcPr>
          <w:p w14:paraId="24E99677">
            <w:r>
              <w:rPr>
                <w:rFonts w:hint="eastAsia"/>
              </w:rPr>
              <w:t>轿内通风自动控制功能</w:t>
            </w:r>
          </w:p>
        </w:tc>
        <w:tc>
          <w:tcPr>
            <w:tcW w:w="2159" w:type="dxa"/>
            <w:tcBorders>
              <w:top w:val="single" w:color="auto" w:sz="4" w:space="0"/>
              <w:left w:val="nil"/>
              <w:bottom w:val="single" w:color="auto" w:sz="4" w:space="0"/>
              <w:right w:val="single" w:color="auto" w:sz="4" w:space="0"/>
            </w:tcBorders>
            <w:vAlign w:val="center"/>
          </w:tcPr>
          <w:p w14:paraId="303E1A90"/>
        </w:tc>
      </w:tr>
      <w:tr w14:paraId="099658C8">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326A0F04"/>
        </w:tc>
        <w:tc>
          <w:tcPr>
            <w:tcW w:w="5174" w:type="dxa"/>
            <w:tcBorders>
              <w:top w:val="single" w:color="auto" w:sz="4" w:space="0"/>
              <w:left w:val="nil"/>
              <w:bottom w:val="single" w:color="auto" w:sz="4" w:space="0"/>
              <w:right w:val="single" w:color="auto" w:sz="4" w:space="0"/>
            </w:tcBorders>
            <w:vAlign w:val="center"/>
          </w:tcPr>
          <w:p w14:paraId="29CECADF">
            <w:r>
              <w:rPr>
                <w:rFonts w:hint="eastAsia"/>
              </w:rPr>
              <w:t>故障自动检测功能</w:t>
            </w:r>
          </w:p>
        </w:tc>
        <w:tc>
          <w:tcPr>
            <w:tcW w:w="2159" w:type="dxa"/>
            <w:tcBorders>
              <w:top w:val="single" w:color="auto" w:sz="4" w:space="0"/>
              <w:left w:val="nil"/>
              <w:bottom w:val="single" w:color="auto" w:sz="4" w:space="0"/>
              <w:right w:val="single" w:color="auto" w:sz="4" w:space="0"/>
            </w:tcBorders>
            <w:vAlign w:val="center"/>
          </w:tcPr>
          <w:p w14:paraId="7D498C3F"/>
        </w:tc>
      </w:tr>
      <w:tr w14:paraId="50BD0D51">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67D8A8ED"/>
        </w:tc>
        <w:tc>
          <w:tcPr>
            <w:tcW w:w="5174" w:type="dxa"/>
            <w:tcBorders>
              <w:top w:val="single" w:color="auto" w:sz="4" w:space="0"/>
              <w:left w:val="nil"/>
              <w:bottom w:val="single" w:color="auto" w:sz="4" w:space="0"/>
              <w:right w:val="single" w:color="auto" w:sz="4" w:space="0"/>
            </w:tcBorders>
            <w:vAlign w:val="center"/>
          </w:tcPr>
          <w:p w14:paraId="7DD575BE">
            <w:r>
              <w:rPr>
                <w:rFonts w:hint="eastAsia"/>
              </w:rPr>
              <w:t>故障自动存储功能</w:t>
            </w:r>
          </w:p>
        </w:tc>
        <w:tc>
          <w:tcPr>
            <w:tcW w:w="2159" w:type="dxa"/>
            <w:tcBorders>
              <w:top w:val="single" w:color="auto" w:sz="4" w:space="0"/>
              <w:left w:val="nil"/>
              <w:bottom w:val="single" w:color="auto" w:sz="4" w:space="0"/>
              <w:right w:val="single" w:color="auto" w:sz="4" w:space="0"/>
            </w:tcBorders>
            <w:vAlign w:val="center"/>
          </w:tcPr>
          <w:p w14:paraId="0112FE93"/>
        </w:tc>
      </w:tr>
      <w:tr w14:paraId="6EFD7DE9">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7FB4B3F1"/>
        </w:tc>
        <w:tc>
          <w:tcPr>
            <w:tcW w:w="5174" w:type="dxa"/>
            <w:tcBorders>
              <w:top w:val="single" w:color="auto" w:sz="4" w:space="0"/>
              <w:left w:val="nil"/>
              <w:bottom w:val="single" w:color="auto" w:sz="4" w:space="0"/>
              <w:right w:val="single" w:color="auto" w:sz="4" w:space="0"/>
            </w:tcBorders>
            <w:vAlign w:val="center"/>
          </w:tcPr>
          <w:p w14:paraId="52680FD9">
            <w:r>
              <w:rPr>
                <w:rFonts w:hint="eastAsia"/>
              </w:rPr>
              <w:t>待机定期自检功能</w:t>
            </w:r>
          </w:p>
        </w:tc>
        <w:tc>
          <w:tcPr>
            <w:tcW w:w="2159" w:type="dxa"/>
            <w:tcBorders>
              <w:top w:val="single" w:color="auto" w:sz="4" w:space="0"/>
              <w:left w:val="nil"/>
              <w:bottom w:val="single" w:color="auto" w:sz="4" w:space="0"/>
              <w:right w:val="single" w:color="auto" w:sz="4" w:space="0"/>
            </w:tcBorders>
            <w:vAlign w:val="center"/>
          </w:tcPr>
          <w:p w14:paraId="7D34D5DD"/>
        </w:tc>
      </w:tr>
      <w:tr w14:paraId="0B620E4D">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0DD452F3"/>
        </w:tc>
        <w:tc>
          <w:tcPr>
            <w:tcW w:w="5174" w:type="dxa"/>
            <w:tcBorders>
              <w:top w:val="single" w:color="auto" w:sz="4" w:space="0"/>
              <w:left w:val="nil"/>
              <w:bottom w:val="single" w:color="auto" w:sz="4" w:space="0"/>
              <w:right w:val="single" w:color="auto" w:sz="4" w:space="0"/>
            </w:tcBorders>
            <w:vAlign w:val="center"/>
          </w:tcPr>
          <w:p w14:paraId="257EFF22">
            <w:r>
              <w:rPr>
                <w:rFonts w:hint="eastAsia"/>
              </w:rPr>
              <w:t>具备消防迫降功能(1F)</w:t>
            </w:r>
          </w:p>
        </w:tc>
        <w:tc>
          <w:tcPr>
            <w:tcW w:w="2159" w:type="dxa"/>
            <w:tcBorders>
              <w:top w:val="single" w:color="auto" w:sz="4" w:space="0"/>
              <w:left w:val="nil"/>
              <w:bottom w:val="single" w:color="auto" w:sz="4" w:space="0"/>
              <w:right w:val="single" w:color="auto" w:sz="4" w:space="0"/>
            </w:tcBorders>
            <w:vAlign w:val="center"/>
          </w:tcPr>
          <w:p w14:paraId="140E8070"/>
        </w:tc>
      </w:tr>
      <w:tr w14:paraId="2613AA49">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4BCB49A2"/>
        </w:tc>
        <w:tc>
          <w:tcPr>
            <w:tcW w:w="5174" w:type="dxa"/>
            <w:tcBorders>
              <w:top w:val="single" w:color="auto" w:sz="4" w:space="0"/>
              <w:left w:val="nil"/>
              <w:bottom w:val="single" w:color="auto" w:sz="4" w:space="0"/>
              <w:right w:val="single" w:color="auto" w:sz="4" w:space="0"/>
            </w:tcBorders>
            <w:vAlign w:val="center"/>
          </w:tcPr>
          <w:p w14:paraId="50D4A564">
            <w:r>
              <w:rPr>
                <w:rFonts w:hint="eastAsia"/>
              </w:rPr>
              <w:t>预留BA接口</w:t>
            </w:r>
          </w:p>
        </w:tc>
        <w:tc>
          <w:tcPr>
            <w:tcW w:w="2159" w:type="dxa"/>
            <w:tcBorders>
              <w:top w:val="single" w:color="auto" w:sz="4" w:space="0"/>
              <w:left w:val="nil"/>
              <w:bottom w:val="single" w:color="auto" w:sz="4" w:space="0"/>
              <w:right w:val="single" w:color="auto" w:sz="4" w:space="0"/>
            </w:tcBorders>
            <w:vAlign w:val="center"/>
          </w:tcPr>
          <w:p w14:paraId="08D9C97E"/>
        </w:tc>
      </w:tr>
      <w:tr w14:paraId="0BD905EB">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5B787F3F"/>
        </w:tc>
        <w:tc>
          <w:tcPr>
            <w:tcW w:w="5174" w:type="dxa"/>
            <w:tcBorders>
              <w:top w:val="single" w:color="auto" w:sz="4" w:space="0"/>
              <w:left w:val="nil"/>
              <w:bottom w:val="single" w:color="auto" w:sz="4" w:space="0"/>
              <w:right w:val="single" w:color="auto" w:sz="4" w:space="0"/>
            </w:tcBorders>
            <w:vAlign w:val="center"/>
          </w:tcPr>
          <w:p w14:paraId="38B66DBA">
            <w:r>
              <w:rPr>
                <w:rFonts w:hint="eastAsia"/>
              </w:rPr>
              <w:t>防坠落功能，要求内置抱闸</w:t>
            </w:r>
          </w:p>
        </w:tc>
        <w:tc>
          <w:tcPr>
            <w:tcW w:w="2159" w:type="dxa"/>
            <w:tcBorders>
              <w:top w:val="single" w:color="auto" w:sz="4" w:space="0"/>
              <w:left w:val="nil"/>
              <w:bottom w:val="single" w:color="auto" w:sz="4" w:space="0"/>
              <w:right w:val="single" w:color="auto" w:sz="4" w:space="0"/>
            </w:tcBorders>
            <w:vAlign w:val="center"/>
          </w:tcPr>
          <w:p w14:paraId="499C4A3E"/>
        </w:tc>
      </w:tr>
      <w:tr w14:paraId="286CDF69">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1FC4B03C"/>
        </w:tc>
        <w:tc>
          <w:tcPr>
            <w:tcW w:w="5174" w:type="dxa"/>
            <w:tcBorders>
              <w:top w:val="single" w:color="auto" w:sz="4" w:space="0"/>
              <w:left w:val="nil"/>
              <w:bottom w:val="single" w:color="auto" w:sz="4" w:space="0"/>
              <w:right w:val="single" w:color="auto" w:sz="4" w:space="0"/>
            </w:tcBorders>
            <w:vAlign w:val="center"/>
          </w:tcPr>
          <w:p w14:paraId="57A9B98C">
            <w:r>
              <w:rPr>
                <w:rFonts w:hint="eastAsia"/>
              </w:rPr>
              <w:t>非门区防扒门装置</w:t>
            </w:r>
          </w:p>
        </w:tc>
        <w:tc>
          <w:tcPr>
            <w:tcW w:w="2159" w:type="dxa"/>
            <w:tcBorders>
              <w:top w:val="single" w:color="auto" w:sz="4" w:space="0"/>
              <w:left w:val="nil"/>
              <w:bottom w:val="single" w:color="auto" w:sz="4" w:space="0"/>
              <w:right w:val="single" w:color="auto" w:sz="4" w:space="0"/>
            </w:tcBorders>
            <w:vAlign w:val="center"/>
          </w:tcPr>
          <w:p w14:paraId="25402234"/>
        </w:tc>
      </w:tr>
      <w:tr w14:paraId="6610B9FF">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73C393A9"/>
        </w:tc>
        <w:tc>
          <w:tcPr>
            <w:tcW w:w="5174" w:type="dxa"/>
            <w:tcBorders>
              <w:top w:val="single" w:color="auto" w:sz="4" w:space="0"/>
              <w:left w:val="nil"/>
              <w:bottom w:val="single" w:color="auto" w:sz="4" w:space="0"/>
              <w:right w:val="single" w:color="auto" w:sz="4" w:space="0"/>
            </w:tcBorders>
            <w:vAlign w:val="center"/>
          </w:tcPr>
          <w:p w14:paraId="3104B667">
            <w:r>
              <w:rPr>
                <w:rFonts w:hint="eastAsia"/>
              </w:rPr>
              <w:t>控制柜检修操作功能</w:t>
            </w:r>
          </w:p>
        </w:tc>
        <w:tc>
          <w:tcPr>
            <w:tcW w:w="2159" w:type="dxa"/>
            <w:tcBorders>
              <w:top w:val="single" w:color="auto" w:sz="4" w:space="0"/>
              <w:left w:val="nil"/>
              <w:bottom w:val="single" w:color="auto" w:sz="4" w:space="0"/>
              <w:right w:val="single" w:color="auto" w:sz="4" w:space="0"/>
            </w:tcBorders>
            <w:vAlign w:val="center"/>
          </w:tcPr>
          <w:p w14:paraId="1CD65893"/>
        </w:tc>
      </w:tr>
      <w:tr w14:paraId="063ECB73">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2ABC4720"/>
        </w:tc>
        <w:tc>
          <w:tcPr>
            <w:tcW w:w="5174" w:type="dxa"/>
            <w:tcBorders>
              <w:top w:val="single" w:color="auto" w:sz="4" w:space="0"/>
              <w:left w:val="nil"/>
              <w:bottom w:val="single" w:color="auto" w:sz="4" w:space="0"/>
              <w:right w:val="single" w:color="auto" w:sz="4" w:space="0"/>
            </w:tcBorders>
            <w:vAlign w:val="center"/>
          </w:tcPr>
          <w:p w14:paraId="14016826">
            <w:r>
              <w:rPr>
                <w:rFonts w:hint="eastAsia"/>
              </w:rPr>
              <w:t>起动线性补偿功能</w:t>
            </w:r>
          </w:p>
        </w:tc>
        <w:tc>
          <w:tcPr>
            <w:tcW w:w="2159" w:type="dxa"/>
            <w:tcBorders>
              <w:top w:val="single" w:color="auto" w:sz="4" w:space="0"/>
              <w:left w:val="nil"/>
              <w:bottom w:val="single" w:color="auto" w:sz="4" w:space="0"/>
              <w:right w:val="single" w:color="auto" w:sz="4" w:space="0"/>
            </w:tcBorders>
            <w:vAlign w:val="center"/>
          </w:tcPr>
          <w:p w14:paraId="15054543"/>
        </w:tc>
      </w:tr>
      <w:tr w14:paraId="2F2B62B9">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320F9F6B"/>
        </w:tc>
        <w:tc>
          <w:tcPr>
            <w:tcW w:w="5174" w:type="dxa"/>
            <w:tcBorders>
              <w:top w:val="single" w:color="auto" w:sz="4" w:space="0"/>
              <w:left w:val="nil"/>
              <w:bottom w:val="single" w:color="auto" w:sz="4" w:space="0"/>
              <w:right w:val="single" w:color="auto" w:sz="4" w:space="0"/>
            </w:tcBorders>
            <w:vAlign w:val="center"/>
          </w:tcPr>
          <w:p w14:paraId="1C639EE5">
            <w:r>
              <w:rPr>
                <w:rFonts w:hint="eastAsia"/>
              </w:rPr>
              <w:t>上行超速保护装置</w:t>
            </w:r>
          </w:p>
        </w:tc>
        <w:tc>
          <w:tcPr>
            <w:tcW w:w="2159" w:type="dxa"/>
            <w:tcBorders>
              <w:top w:val="single" w:color="auto" w:sz="4" w:space="0"/>
              <w:left w:val="nil"/>
              <w:bottom w:val="single" w:color="auto" w:sz="4" w:space="0"/>
              <w:right w:val="single" w:color="auto" w:sz="4" w:space="0"/>
            </w:tcBorders>
            <w:vAlign w:val="center"/>
          </w:tcPr>
          <w:p w14:paraId="34D3748F"/>
        </w:tc>
      </w:tr>
      <w:tr w14:paraId="475FC8F7">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2E7725B4"/>
        </w:tc>
        <w:tc>
          <w:tcPr>
            <w:tcW w:w="5174" w:type="dxa"/>
            <w:tcBorders>
              <w:top w:val="single" w:color="auto" w:sz="4" w:space="0"/>
              <w:left w:val="nil"/>
              <w:bottom w:val="single" w:color="auto" w:sz="4" w:space="0"/>
              <w:right w:val="single" w:color="auto" w:sz="4" w:space="0"/>
            </w:tcBorders>
            <w:vAlign w:val="center"/>
          </w:tcPr>
          <w:p w14:paraId="2BEE43B5">
            <w:r>
              <w:rPr>
                <w:rFonts w:hint="eastAsia"/>
              </w:rPr>
              <w:t>故障自诊断</w:t>
            </w:r>
          </w:p>
        </w:tc>
        <w:tc>
          <w:tcPr>
            <w:tcW w:w="2159" w:type="dxa"/>
            <w:tcBorders>
              <w:top w:val="single" w:color="auto" w:sz="4" w:space="0"/>
              <w:left w:val="nil"/>
              <w:bottom w:val="single" w:color="auto" w:sz="4" w:space="0"/>
              <w:right w:val="single" w:color="auto" w:sz="4" w:space="0"/>
            </w:tcBorders>
            <w:vAlign w:val="center"/>
          </w:tcPr>
          <w:p w14:paraId="6EA83E02"/>
        </w:tc>
      </w:tr>
      <w:tr w14:paraId="2D360155">
        <w:tblPrEx>
          <w:tblCellMar>
            <w:top w:w="0" w:type="dxa"/>
            <w:left w:w="108" w:type="dxa"/>
            <w:bottom w:w="0" w:type="dxa"/>
            <w:right w:w="108" w:type="dxa"/>
          </w:tblCellMar>
        </w:tblPrEx>
        <w:trPr>
          <w:trHeight w:val="340" w:hRule="atLeast"/>
        </w:trPr>
        <w:tc>
          <w:tcPr>
            <w:tcW w:w="1952" w:type="dxa"/>
            <w:vMerge w:val="restart"/>
            <w:tcBorders>
              <w:top w:val="single" w:color="auto" w:sz="4" w:space="0"/>
              <w:left w:val="single" w:color="auto" w:sz="4" w:space="0"/>
              <w:bottom w:val="single" w:color="auto" w:sz="4" w:space="0"/>
              <w:right w:val="single" w:color="auto" w:sz="4" w:space="0"/>
            </w:tcBorders>
            <w:vAlign w:val="center"/>
          </w:tcPr>
          <w:p w14:paraId="40AD777C">
            <w:r>
              <w:rPr>
                <w:rFonts w:hint="eastAsia"/>
              </w:rPr>
              <w:t>其它功能要求</w:t>
            </w:r>
          </w:p>
        </w:tc>
        <w:tc>
          <w:tcPr>
            <w:tcW w:w="5174" w:type="dxa"/>
            <w:tcBorders>
              <w:top w:val="single" w:color="auto" w:sz="4" w:space="0"/>
              <w:left w:val="nil"/>
              <w:bottom w:val="single" w:color="auto" w:sz="4" w:space="0"/>
              <w:right w:val="single" w:color="auto" w:sz="4" w:space="0"/>
            </w:tcBorders>
            <w:vAlign w:val="center"/>
          </w:tcPr>
          <w:p w14:paraId="59CD9C06">
            <w:r>
              <w:rPr>
                <w:rFonts w:hint="eastAsia"/>
              </w:rPr>
              <w:t>独立运行</w:t>
            </w:r>
          </w:p>
        </w:tc>
        <w:tc>
          <w:tcPr>
            <w:tcW w:w="2159" w:type="dxa"/>
            <w:tcBorders>
              <w:top w:val="single" w:color="auto" w:sz="4" w:space="0"/>
              <w:left w:val="nil"/>
              <w:bottom w:val="single" w:color="auto" w:sz="4" w:space="0"/>
              <w:right w:val="single" w:color="auto" w:sz="4" w:space="0"/>
            </w:tcBorders>
            <w:vAlign w:val="center"/>
          </w:tcPr>
          <w:p w14:paraId="3FE77310"/>
        </w:tc>
      </w:tr>
      <w:tr w14:paraId="3FE132D7">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0BDDEF87"/>
        </w:tc>
        <w:tc>
          <w:tcPr>
            <w:tcW w:w="5174" w:type="dxa"/>
            <w:tcBorders>
              <w:top w:val="single" w:color="auto" w:sz="4" w:space="0"/>
              <w:left w:val="nil"/>
              <w:bottom w:val="single" w:color="auto" w:sz="4" w:space="0"/>
              <w:right w:val="single" w:color="auto" w:sz="4" w:space="0"/>
            </w:tcBorders>
            <w:vAlign w:val="center"/>
          </w:tcPr>
          <w:p w14:paraId="5C3AB2C2">
            <w:r>
              <w:rPr>
                <w:rFonts w:hint="eastAsia"/>
              </w:rPr>
              <w:t>满载直驶运行功能</w:t>
            </w:r>
          </w:p>
        </w:tc>
        <w:tc>
          <w:tcPr>
            <w:tcW w:w="2159" w:type="dxa"/>
            <w:tcBorders>
              <w:top w:val="single" w:color="auto" w:sz="4" w:space="0"/>
              <w:left w:val="nil"/>
              <w:bottom w:val="single" w:color="auto" w:sz="4" w:space="0"/>
              <w:right w:val="single" w:color="auto" w:sz="4" w:space="0"/>
            </w:tcBorders>
            <w:vAlign w:val="center"/>
          </w:tcPr>
          <w:p w14:paraId="52E89677"/>
        </w:tc>
      </w:tr>
      <w:tr w14:paraId="39ED1FCE">
        <w:tblPrEx>
          <w:tblCellMar>
            <w:top w:w="0" w:type="dxa"/>
            <w:left w:w="108" w:type="dxa"/>
            <w:bottom w:w="0" w:type="dxa"/>
            <w:right w:w="108" w:type="dxa"/>
          </w:tblCellMar>
        </w:tblPrEx>
        <w:trPr>
          <w:trHeight w:val="340" w:hRule="atLeast"/>
        </w:trPr>
        <w:tc>
          <w:tcPr>
            <w:tcW w:w="1952" w:type="dxa"/>
            <w:vMerge w:val="continue"/>
            <w:tcBorders>
              <w:top w:val="single" w:color="auto" w:sz="4" w:space="0"/>
              <w:left w:val="single" w:color="auto" w:sz="4" w:space="0"/>
              <w:bottom w:val="single" w:color="auto" w:sz="4" w:space="0"/>
              <w:right w:val="single" w:color="auto" w:sz="4" w:space="0"/>
            </w:tcBorders>
            <w:vAlign w:val="center"/>
          </w:tcPr>
          <w:p w14:paraId="3D683341"/>
        </w:tc>
        <w:tc>
          <w:tcPr>
            <w:tcW w:w="5174" w:type="dxa"/>
            <w:tcBorders>
              <w:top w:val="single" w:color="auto" w:sz="4" w:space="0"/>
              <w:left w:val="nil"/>
              <w:bottom w:val="single" w:color="auto" w:sz="4" w:space="0"/>
              <w:right w:val="single" w:color="auto" w:sz="4" w:space="0"/>
            </w:tcBorders>
            <w:vAlign w:val="center"/>
          </w:tcPr>
          <w:p w14:paraId="61831396">
            <w:r>
              <w:rPr>
                <w:rFonts w:hint="eastAsia"/>
              </w:rPr>
              <w:t>电梯轿厢内配置灭菌灯</w:t>
            </w:r>
          </w:p>
        </w:tc>
        <w:tc>
          <w:tcPr>
            <w:tcW w:w="2159" w:type="dxa"/>
            <w:tcBorders>
              <w:top w:val="single" w:color="auto" w:sz="4" w:space="0"/>
              <w:left w:val="nil"/>
              <w:bottom w:val="single" w:color="auto" w:sz="4" w:space="0"/>
              <w:right w:val="single" w:color="auto" w:sz="4" w:space="0"/>
            </w:tcBorders>
            <w:vAlign w:val="center"/>
          </w:tcPr>
          <w:p w14:paraId="7C934C90"/>
        </w:tc>
      </w:tr>
      <w:tr w14:paraId="7E9B4271">
        <w:tblPrEx>
          <w:tblCellMar>
            <w:top w:w="0" w:type="dxa"/>
            <w:left w:w="108" w:type="dxa"/>
            <w:bottom w:w="0" w:type="dxa"/>
            <w:right w:w="108" w:type="dxa"/>
          </w:tblCellMar>
        </w:tblPrEx>
        <w:trPr>
          <w:trHeight w:val="340" w:hRule="atLeast"/>
        </w:trPr>
        <w:tc>
          <w:tcPr>
            <w:tcW w:w="1952" w:type="dxa"/>
            <w:tcBorders>
              <w:top w:val="single" w:color="auto" w:sz="4" w:space="0"/>
              <w:left w:val="single" w:color="auto" w:sz="4" w:space="0"/>
              <w:bottom w:val="single" w:color="auto" w:sz="4" w:space="0"/>
              <w:right w:val="single" w:color="auto" w:sz="4" w:space="0"/>
            </w:tcBorders>
            <w:vAlign w:val="center"/>
          </w:tcPr>
          <w:p w14:paraId="172B0E97">
            <w:r>
              <w:rPr>
                <w:rFonts w:hint="eastAsia"/>
              </w:rPr>
              <w:t>轿厢噪音要求</w:t>
            </w:r>
          </w:p>
        </w:tc>
        <w:tc>
          <w:tcPr>
            <w:tcW w:w="5174" w:type="dxa"/>
            <w:tcBorders>
              <w:top w:val="single" w:color="auto" w:sz="4" w:space="0"/>
              <w:left w:val="nil"/>
              <w:bottom w:val="single" w:color="auto" w:sz="4" w:space="0"/>
              <w:right w:val="single" w:color="auto" w:sz="4" w:space="0"/>
            </w:tcBorders>
            <w:vAlign w:val="center"/>
          </w:tcPr>
          <w:p w14:paraId="69DB714C">
            <w:r>
              <w:rPr>
                <w:rFonts w:hint="eastAsia"/>
              </w:rPr>
              <w:t>运行中噪音≤55dB（A）</w:t>
            </w:r>
          </w:p>
        </w:tc>
        <w:tc>
          <w:tcPr>
            <w:tcW w:w="2159" w:type="dxa"/>
            <w:tcBorders>
              <w:top w:val="single" w:color="auto" w:sz="4" w:space="0"/>
              <w:left w:val="nil"/>
              <w:bottom w:val="single" w:color="auto" w:sz="4" w:space="0"/>
              <w:right w:val="single" w:color="auto" w:sz="4" w:space="0"/>
            </w:tcBorders>
            <w:vAlign w:val="center"/>
          </w:tcPr>
          <w:p w14:paraId="22966487"/>
        </w:tc>
      </w:tr>
      <w:tr w14:paraId="679EB2CD">
        <w:tblPrEx>
          <w:tblCellMar>
            <w:top w:w="0" w:type="dxa"/>
            <w:left w:w="108" w:type="dxa"/>
            <w:bottom w:w="0" w:type="dxa"/>
            <w:right w:w="108" w:type="dxa"/>
          </w:tblCellMar>
        </w:tblPrEx>
        <w:trPr>
          <w:trHeight w:val="340" w:hRule="atLeast"/>
        </w:trPr>
        <w:tc>
          <w:tcPr>
            <w:tcW w:w="1952" w:type="dxa"/>
            <w:tcBorders>
              <w:top w:val="single" w:color="auto" w:sz="4" w:space="0"/>
              <w:left w:val="single" w:color="auto" w:sz="4" w:space="0"/>
              <w:bottom w:val="single" w:color="auto" w:sz="4" w:space="0"/>
              <w:right w:val="single" w:color="auto" w:sz="4" w:space="0"/>
            </w:tcBorders>
            <w:vAlign w:val="center"/>
          </w:tcPr>
          <w:p w14:paraId="2550DA1F">
            <w:r>
              <w:rPr>
                <w:rFonts w:hint="eastAsia"/>
              </w:rPr>
              <w:t>开关门噪音要求</w:t>
            </w:r>
          </w:p>
        </w:tc>
        <w:tc>
          <w:tcPr>
            <w:tcW w:w="5174" w:type="dxa"/>
            <w:tcBorders>
              <w:top w:val="single" w:color="auto" w:sz="4" w:space="0"/>
              <w:left w:val="nil"/>
              <w:bottom w:val="single" w:color="auto" w:sz="4" w:space="0"/>
              <w:right w:val="single" w:color="auto" w:sz="4" w:space="0"/>
            </w:tcBorders>
            <w:vAlign w:val="center"/>
          </w:tcPr>
          <w:p w14:paraId="29CC8E7C">
            <w:r>
              <w:rPr>
                <w:rFonts w:hint="eastAsia"/>
              </w:rPr>
              <w:t>开关门时的噪音≤65dB（A）</w:t>
            </w:r>
          </w:p>
        </w:tc>
        <w:tc>
          <w:tcPr>
            <w:tcW w:w="2159" w:type="dxa"/>
            <w:tcBorders>
              <w:top w:val="single" w:color="auto" w:sz="4" w:space="0"/>
              <w:left w:val="nil"/>
              <w:bottom w:val="single" w:color="auto" w:sz="4" w:space="0"/>
              <w:right w:val="single" w:color="auto" w:sz="4" w:space="0"/>
            </w:tcBorders>
            <w:vAlign w:val="center"/>
          </w:tcPr>
          <w:p w14:paraId="2782FFDE"/>
        </w:tc>
      </w:tr>
      <w:tr w14:paraId="2BC4AC6D">
        <w:tblPrEx>
          <w:tblCellMar>
            <w:top w:w="0" w:type="dxa"/>
            <w:left w:w="108" w:type="dxa"/>
            <w:bottom w:w="0" w:type="dxa"/>
            <w:right w:w="108" w:type="dxa"/>
          </w:tblCellMar>
        </w:tblPrEx>
        <w:trPr>
          <w:trHeight w:val="368" w:hRule="atLeast"/>
        </w:trPr>
        <w:tc>
          <w:tcPr>
            <w:tcW w:w="1952" w:type="dxa"/>
            <w:tcBorders>
              <w:top w:val="single" w:color="auto" w:sz="4" w:space="0"/>
              <w:left w:val="single" w:color="auto" w:sz="4" w:space="0"/>
              <w:bottom w:val="single" w:color="auto" w:sz="4" w:space="0"/>
              <w:right w:val="single" w:color="auto" w:sz="4" w:space="0"/>
            </w:tcBorders>
            <w:vAlign w:val="center"/>
          </w:tcPr>
          <w:p w14:paraId="4E3E436E">
            <w:r>
              <w:rPr>
                <w:rFonts w:hint="eastAsia"/>
              </w:rPr>
              <w:t>整机可靠性</w:t>
            </w:r>
          </w:p>
        </w:tc>
        <w:tc>
          <w:tcPr>
            <w:tcW w:w="5174" w:type="dxa"/>
            <w:tcBorders>
              <w:top w:val="single" w:color="auto" w:sz="4" w:space="0"/>
              <w:left w:val="nil"/>
              <w:bottom w:val="single" w:color="auto" w:sz="4" w:space="0"/>
              <w:right w:val="single" w:color="auto" w:sz="4" w:space="0"/>
            </w:tcBorders>
            <w:vAlign w:val="center"/>
          </w:tcPr>
          <w:p w14:paraId="45ADAE73">
            <w:r>
              <w:rPr>
                <w:rFonts w:hint="eastAsia"/>
              </w:rPr>
              <w:t>起制动运行60000次中失效（故障）次数＜5次。</w:t>
            </w:r>
          </w:p>
        </w:tc>
        <w:tc>
          <w:tcPr>
            <w:tcW w:w="2159" w:type="dxa"/>
            <w:tcBorders>
              <w:top w:val="single" w:color="auto" w:sz="4" w:space="0"/>
              <w:left w:val="nil"/>
              <w:bottom w:val="single" w:color="auto" w:sz="4" w:space="0"/>
              <w:right w:val="single" w:color="auto" w:sz="4" w:space="0"/>
            </w:tcBorders>
            <w:vAlign w:val="center"/>
          </w:tcPr>
          <w:p w14:paraId="330A434D"/>
        </w:tc>
      </w:tr>
    </w:tbl>
    <w:p w14:paraId="71501117">
      <w:r>
        <w:rPr>
          <w:rFonts w:hint="eastAsia"/>
        </w:rPr>
        <w:t>说明：</w:t>
      </w:r>
    </w:p>
    <w:p w14:paraId="3317A811">
      <w:r>
        <w:rPr>
          <w:rFonts w:hint="eastAsia"/>
        </w:rPr>
        <w:t>1、在以上“功能要求”基础上，投标人认为还需要增加的先进功能或可提升的性能，请在投标文件中作详细说明，并计入投标总价</w:t>
      </w:r>
    </w:p>
    <w:p w14:paraId="2D975F2E">
      <w:r>
        <w:rPr>
          <w:rFonts w:hint="eastAsia"/>
        </w:rPr>
        <w:t>2、除满足上表中的功能外还需满足：</w:t>
      </w:r>
    </w:p>
    <w:p w14:paraId="585B7988">
      <w:r>
        <w:rPr>
          <w:rFonts w:hint="eastAsia"/>
        </w:rPr>
        <w:t>a、其余未提及的功能投标单位依据国家及行业标准进行配置。</w:t>
      </w:r>
    </w:p>
    <w:p w14:paraId="77DB41F1">
      <w:r>
        <w:rPr>
          <w:rFonts w:hint="eastAsia"/>
        </w:rPr>
        <w:t>b、货物电梯功能按厂家标准功能配置。</w:t>
      </w:r>
    </w:p>
    <w:p w14:paraId="4C21C3CD">
      <w:r>
        <w:rPr>
          <w:rFonts w:hint="eastAsia"/>
        </w:rPr>
        <w:t>（四）电梯产品标准和规范要求：投标单位产品应达到下列涉及招标项目内容的标准和规范最新版本的要求，并确保能通过相关部门的验收。</w:t>
      </w:r>
    </w:p>
    <w:p w14:paraId="4661621E">
      <w:pPr>
        <w:numPr>
          <w:ilvl w:val="0"/>
          <w:numId w:val="1"/>
        </w:numPr>
      </w:pPr>
      <w:r>
        <w:rPr>
          <w:rFonts w:hint="eastAsia"/>
        </w:rPr>
        <w:t>《电梯技术条件》GB/T10058</w:t>
      </w:r>
    </w:p>
    <w:p w14:paraId="20FE0027">
      <w:pPr>
        <w:numPr>
          <w:ilvl w:val="0"/>
          <w:numId w:val="1"/>
        </w:numPr>
      </w:pPr>
      <w:r>
        <w:rPr>
          <w:rFonts w:hint="eastAsia"/>
        </w:rPr>
        <w:t>《自动扶梯和自动人行道的制造与安装安全规范》GB16899</w:t>
      </w:r>
    </w:p>
    <w:p w14:paraId="4B58972F">
      <w:pPr>
        <w:numPr>
          <w:ilvl w:val="0"/>
          <w:numId w:val="1"/>
        </w:numPr>
      </w:pPr>
      <w:r>
        <w:rPr>
          <w:rFonts w:hint="eastAsia"/>
        </w:rPr>
        <w:t>《杂物电梯制造与安装安全规范》GB 25194</w:t>
      </w:r>
    </w:p>
    <w:p w14:paraId="20ACB6B3">
      <w:pPr>
        <w:numPr>
          <w:ilvl w:val="0"/>
          <w:numId w:val="1"/>
        </w:numPr>
      </w:pPr>
      <w:r>
        <w:rPr>
          <w:rFonts w:hint="eastAsia"/>
        </w:rPr>
        <w:t>《杂物电梯标准》JG135-2000</w:t>
      </w:r>
    </w:p>
    <w:p w14:paraId="1CE9B597">
      <w:pPr>
        <w:numPr>
          <w:ilvl w:val="0"/>
          <w:numId w:val="1"/>
        </w:numPr>
      </w:pPr>
      <w:r>
        <w:rPr>
          <w:rFonts w:hint="eastAsia"/>
        </w:rPr>
        <w:t>《电梯制造与安装安全规范》GB7588</w:t>
      </w:r>
    </w:p>
    <w:p w14:paraId="4CE81D0C">
      <w:pPr>
        <w:numPr>
          <w:ilvl w:val="0"/>
          <w:numId w:val="1"/>
        </w:numPr>
      </w:pPr>
      <w:r>
        <w:rPr>
          <w:rFonts w:hint="eastAsia"/>
        </w:rPr>
        <w:t>《电梯试验方法》GB/T10059</w:t>
      </w:r>
    </w:p>
    <w:p w14:paraId="7FAF423A">
      <w:pPr>
        <w:numPr>
          <w:ilvl w:val="0"/>
          <w:numId w:val="1"/>
        </w:numPr>
      </w:pPr>
      <w:r>
        <w:rPr>
          <w:rFonts w:hint="eastAsia"/>
        </w:rPr>
        <w:t>《电梯主要参数及轿箱、井道、机房的形式及尺寸》GB7025</w:t>
      </w:r>
    </w:p>
    <w:p w14:paraId="018CA85B">
      <w:pPr>
        <w:numPr>
          <w:ilvl w:val="0"/>
          <w:numId w:val="1"/>
        </w:numPr>
      </w:pPr>
      <w:r>
        <w:rPr>
          <w:rFonts w:hint="eastAsia"/>
        </w:rPr>
        <w:t>《电梯安装验收规范》GB10060</w:t>
      </w:r>
    </w:p>
    <w:p w14:paraId="0C235326">
      <w:pPr>
        <w:numPr>
          <w:ilvl w:val="0"/>
          <w:numId w:val="1"/>
        </w:numPr>
      </w:pPr>
      <w:r>
        <w:rPr>
          <w:rFonts w:hint="eastAsia"/>
        </w:rPr>
        <w:t>《电梯工程施工质量验收规范》GB50310</w:t>
      </w:r>
    </w:p>
    <w:p w14:paraId="4239931A">
      <w:pPr>
        <w:numPr>
          <w:ilvl w:val="0"/>
          <w:numId w:val="1"/>
        </w:numPr>
      </w:pPr>
      <w:r>
        <w:rPr>
          <w:rFonts w:hint="eastAsia"/>
        </w:rPr>
        <w:t>《电梯用钢丝》</w:t>
      </w:r>
      <w:r>
        <w:t>GB8903</w:t>
      </w:r>
    </w:p>
    <w:p w14:paraId="35CD1790">
      <w:pPr>
        <w:numPr>
          <w:ilvl w:val="0"/>
          <w:numId w:val="1"/>
        </w:numPr>
      </w:pPr>
      <w:r>
        <w:rPr>
          <w:rFonts w:hint="eastAsia"/>
        </w:rPr>
        <w:t>《电梯曳引机》GB/T24478</w:t>
      </w:r>
    </w:p>
    <w:p w14:paraId="180DB9A5">
      <w:pPr>
        <w:numPr>
          <w:ilvl w:val="0"/>
          <w:numId w:val="1"/>
        </w:numPr>
      </w:pPr>
      <w:r>
        <w:rPr>
          <w:rFonts w:hint="eastAsia"/>
        </w:rPr>
        <w:t>《交流电梯电动机通用技术条件》</w:t>
      </w:r>
      <w:r>
        <w:t>GB/T12974</w:t>
      </w:r>
    </w:p>
    <w:p w14:paraId="6197A99C">
      <w:pPr>
        <w:numPr>
          <w:ilvl w:val="0"/>
          <w:numId w:val="1"/>
        </w:numPr>
      </w:pPr>
      <w:r>
        <w:rPr>
          <w:rFonts w:hint="eastAsia"/>
        </w:rPr>
        <w:t>《电梯层门耐火实验方法》</w:t>
      </w:r>
      <w:r>
        <w:t>GA109</w:t>
      </w:r>
    </w:p>
    <w:p w14:paraId="1252A821">
      <w:pPr>
        <w:numPr>
          <w:ilvl w:val="0"/>
          <w:numId w:val="1"/>
        </w:numPr>
      </w:pPr>
      <w:r>
        <w:rPr>
          <w:rFonts w:hint="eastAsia"/>
        </w:rPr>
        <w:t>《电梯操作装置、信号和附件》</w:t>
      </w:r>
      <w:r>
        <w:t>JG/T5009</w:t>
      </w:r>
    </w:p>
    <w:p w14:paraId="0808C765">
      <w:pPr>
        <w:numPr>
          <w:ilvl w:val="0"/>
          <w:numId w:val="1"/>
        </w:numPr>
      </w:pPr>
      <w:r>
        <w:rPr>
          <w:rFonts w:hint="eastAsia"/>
        </w:rPr>
        <w:t>江苏省防火部门的条例及相关的中国国家防火规则</w:t>
      </w:r>
    </w:p>
    <w:p w14:paraId="53D61328">
      <w:pPr>
        <w:numPr>
          <w:ilvl w:val="0"/>
          <w:numId w:val="1"/>
        </w:numPr>
      </w:pPr>
      <w:r>
        <w:rPr>
          <w:rFonts w:hint="eastAsia"/>
        </w:rPr>
        <w:t>投标人采用其它标准和规范时，应在投标书中注明是采用何种标准，并应保证设备达到或优于国家规定的现行相关标准。</w:t>
      </w:r>
    </w:p>
    <w:p w14:paraId="32D24C97">
      <w:pPr>
        <w:numPr>
          <w:ilvl w:val="0"/>
          <w:numId w:val="1"/>
        </w:numPr>
      </w:pPr>
      <w:r>
        <w:rPr>
          <w:rFonts w:hint="eastAsia"/>
        </w:rPr>
        <w:t>以国家规定有强制性规范或条例或认证要求的设备或材料，投标人提供的设备或材料应符合该类要求。</w:t>
      </w:r>
    </w:p>
    <w:p w14:paraId="4816FD15">
      <w:r>
        <w:rPr>
          <w:rFonts w:hint="eastAsia"/>
        </w:rPr>
        <w:t>（五）项目安装调试等的服务要求：</w:t>
      </w:r>
    </w:p>
    <w:p w14:paraId="34F7E386">
      <w:r>
        <w:rPr>
          <w:rFonts w:hint="eastAsia"/>
        </w:rPr>
        <w:t>一、关于安装及调试，供应商投标时需提供：</w:t>
      </w:r>
    </w:p>
    <w:p w14:paraId="24E05DCE">
      <w:r>
        <w:rPr>
          <w:rFonts w:hint="eastAsia"/>
        </w:rPr>
        <w:t>1、能保证电梯正常安装、调试和运行的整套附件、配套件和材料的详细清单和报价；电梯的各项尺寸、设备重量等。</w:t>
      </w:r>
    </w:p>
    <w:p w14:paraId="4E7B5E4F">
      <w:r>
        <w:rPr>
          <w:rFonts w:hint="eastAsia"/>
        </w:rPr>
        <w:t>2、电梯运行免费质保期后所需的易损件和备件的详细清单和报价。</w:t>
      </w:r>
    </w:p>
    <w:p w14:paraId="6DDDD88F">
      <w:r>
        <w:rPr>
          <w:rFonts w:hint="eastAsia"/>
        </w:rPr>
        <w:t>3、电梯运行免费质保期后每台电梯半包及全包维护保养价格和内容。</w:t>
      </w:r>
    </w:p>
    <w:p w14:paraId="72C9DA4F">
      <w:r>
        <w:rPr>
          <w:rFonts w:hint="eastAsia"/>
        </w:rPr>
        <w:t>4、维修专用工具的详细清单。</w:t>
      </w:r>
    </w:p>
    <w:p w14:paraId="44C90C59">
      <w:r>
        <w:rPr>
          <w:rFonts w:hint="eastAsia"/>
        </w:rPr>
        <w:t>5、安装调试：电梯生产厂家授权安装单位负责电梯安装调试，投标文件中提供电梯生产厂家授权书。同时须提交省级技监行政部门安全认可证副本或复印件；安装施工资质证书；投标人需针对本项目并配备充足的技术力量和项目负责人负责现场管理以保证该项目的实施。现场项目经理必须具备相应的资格证书和简历；安装调试本设备人员正式培训合格证及安装工作计划。</w:t>
      </w:r>
    </w:p>
    <w:p w14:paraId="6FEB91B7">
      <w:r>
        <w:rPr>
          <w:rFonts w:hint="eastAsia"/>
        </w:rPr>
        <w:t>6、负责对采购方的设备维修管理人员免费进行现场培训，并在投标文件中提供详细的授课安排，授课师资配备，时间、地点及学员数量由招标人确定。</w:t>
      </w:r>
    </w:p>
    <w:p w14:paraId="3B41FC16">
      <w:r>
        <w:rPr>
          <w:rFonts w:hint="eastAsia"/>
        </w:rPr>
        <w:t>7、安装、调试、质量监督及其他服务人员条件：投标文件中应提供有关安装、调试、质量监督及其他服务所需人员（包括在本项目中负责的总部主管人员和现场主要人员）的配备情况，包括其姓名、年龄、学历、资质、履历、类似项目或工程经验等。投标文件需详细注明该人员在本项目中所承担的职务和责任以及服务时间，同时确认其服务应在合同执行完毕后方告结束，所有由其提供的服务均已包含在合同总价内，并应在合同执行后提供有关上述人员全部履行职责的有效证明，否则视为违约。若该人员因不可抗力无法提供合同中所承诺的服务，供方应提供同等资质人员替代其执行合同，该人员需获得采购方确认后方可开始工作，由此所引起的一切责任由供方自负。</w:t>
      </w:r>
    </w:p>
    <w:p w14:paraId="6D70B354">
      <w:r>
        <w:rPr>
          <w:rFonts w:hint="eastAsia"/>
        </w:rPr>
        <w:t>8、投标人需遵守现场的一切规章制度，进行文明安装和调试；无条件服从招标人现场管理，主动积极，良好的与其他相关单位进行配合施工安装；</w:t>
      </w:r>
    </w:p>
    <w:p w14:paraId="179C8778">
      <w:r>
        <w:rPr>
          <w:rFonts w:hint="eastAsia"/>
        </w:rPr>
        <w:t>9、投标人负责保管、看护进场的设备及附配件；</w:t>
      </w:r>
    </w:p>
    <w:p w14:paraId="6B05B413">
      <w:r>
        <w:rPr>
          <w:rFonts w:hint="eastAsia"/>
        </w:rPr>
        <w:t xml:space="preserve">10、投标人负责设备、安装设备（工具）等提供适当的保护、包装或覆盖等处理，以免受损；  </w:t>
      </w:r>
    </w:p>
    <w:p w14:paraId="54DA208E">
      <w:r>
        <w:rPr>
          <w:rFonts w:hint="eastAsia"/>
        </w:rPr>
        <w:t>11、投标人安装调试人员对邻近设施、管线等造成损坏，应由投标人负责修复及承担一切费用；</w:t>
      </w:r>
    </w:p>
    <w:p w14:paraId="4F1FD7E7">
      <w:r>
        <w:rPr>
          <w:rFonts w:hint="eastAsia"/>
        </w:rPr>
        <w:t>12、无论安装调试期间或保修过程中，投标人负责及时清理垃圾；</w:t>
      </w:r>
    </w:p>
    <w:p w14:paraId="11174028">
      <w:pPr>
        <w:rPr>
          <w:rFonts w:hint="eastAsia"/>
        </w:rPr>
      </w:pPr>
      <w:r>
        <w:rPr>
          <w:rFonts w:hint="eastAsia"/>
        </w:rPr>
        <w:t>二、投标人须提供维修机构情况及维修保养资格证明（资历、资质、维修站地点、技术力量比例结构、收费标准），说明售后服务的优惠条件及报修的响应时间。</w:t>
      </w:r>
    </w:p>
    <w:p w14:paraId="59CB9334">
      <w:pPr>
        <w:pStyle w:val="2"/>
        <w:keepNext w:val="0"/>
        <w:keepLines w:val="0"/>
        <w:pageBreakBefore w:val="0"/>
        <w:widowControl/>
        <w:kinsoku/>
        <w:wordWrap/>
        <w:overflowPunct/>
        <w:topLinePunct w:val="0"/>
        <w:autoSpaceDE w:val="0"/>
        <w:autoSpaceDN w:val="0"/>
        <w:bidi w:val="0"/>
        <w:adjustRightInd w:val="0"/>
        <w:snapToGrid w:val="0"/>
        <w:spacing w:line="240" w:lineRule="auto"/>
        <w:ind w:left="0" w:leftChars="0" w:firstLine="0" w:firstLineChars="0"/>
        <w:textAlignment w:val="auto"/>
        <w:rPr>
          <w:rFonts w:hint="eastAsia" w:eastAsia="宋体"/>
          <w:sz w:val="21"/>
          <w:szCs w:val="20"/>
          <w:lang w:eastAsia="zh-CN"/>
        </w:rPr>
      </w:pPr>
      <w:r>
        <w:rPr>
          <w:rFonts w:hint="eastAsia"/>
          <w:sz w:val="21"/>
          <w:szCs w:val="20"/>
          <w:lang w:eastAsia="zh-CN"/>
        </w:rPr>
        <w:t>三、免费质保期（质量保修期和保养期）自通过技术质量监督部门验收合格之日起不得低于两年，在质保期内该产品出现质量问题（人为除外），供方负责无条件更换；如3个月出现3次以上同一类问题，甲方有权要求乙方无条件更换部件。提供立即响应，30分钟以内到达现场，6小时以内完成甲方提出的维修要求；应急服务要求30分钟到现场，一般故障1小时以完成。如需更换设备或送修，必须在3个工作日内负责解决。乙方需对甲方技术人员提供现场培训。</w:t>
      </w:r>
    </w:p>
    <w:p w14:paraId="1367FBA8">
      <w:r>
        <w:rPr>
          <w:rFonts w:hint="eastAsia"/>
          <w:lang w:eastAsia="zh-CN"/>
        </w:rPr>
        <w:t>四</w:t>
      </w:r>
      <w:r>
        <w:rPr>
          <w:rFonts w:hint="eastAsia"/>
        </w:rPr>
        <w:t>、技术与服务要求：</w:t>
      </w:r>
    </w:p>
    <w:p w14:paraId="172E2790">
      <w:r>
        <w:rPr>
          <w:rFonts w:hint="eastAsia"/>
        </w:rPr>
        <w:t>1、设备到货后应免费派员安装、调试。</w:t>
      </w:r>
    </w:p>
    <w:p w14:paraId="60B07662">
      <w:r>
        <w:rPr>
          <w:rFonts w:hint="eastAsia"/>
        </w:rPr>
        <w:t>2、投标人需在苏州地区设有固定的售后服务及维修服务点，并配备充足的技术力量以保证该项目的实施。</w:t>
      </w:r>
    </w:p>
    <w:p w14:paraId="6CBA7AD8">
      <w:r>
        <w:rPr>
          <w:rFonts w:hint="eastAsia"/>
        </w:rPr>
        <w:t>3、投标人应提供必备的技术资料：</w:t>
      </w:r>
    </w:p>
    <w:p w14:paraId="4907AA3A">
      <w:r>
        <w:rPr>
          <w:rFonts w:hint="eastAsia"/>
        </w:rPr>
        <w:t>A、提供全部的技术资料（测试报告、各项测试数据、产品合格证书），其中产品合格证书允许中标单位在电梯运至交货现场时提供；</w:t>
      </w:r>
    </w:p>
    <w:p w14:paraId="461A535A">
      <w:r>
        <w:rPr>
          <w:rFonts w:hint="eastAsia"/>
        </w:rPr>
        <w:t>B、提供设备安装图及电气线路图和主要零部件的技术性能参数（列出清单）；</w:t>
      </w:r>
    </w:p>
    <w:p w14:paraId="7AFC8D31">
      <w:r>
        <w:rPr>
          <w:rFonts w:hint="eastAsia"/>
        </w:rPr>
        <w:t>C、提供保养、维修操作规程、设备保修期限以及设备运行的经济成本分析资料；</w:t>
      </w:r>
    </w:p>
    <w:p w14:paraId="45C1876A">
      <w:r>
        <w:rPr>
          <w:rFonts w:hint="eastAsia"/>
        </w:rPr>
        <w:t>D、提供特殊件及配套件的清单、技术参数及生产单位名录；</w:t>
      </w:r>
    </w:p>
    <w:p w14:paraId="2C74B5AA">
      <w:r>
        <w:rPr>
          <w:rFonts w:hint="eastAsia"/>
        </w:rPr>
        <w:t>E、涉及进口件时，提供由独立的商检机构开具的所有设备及关键件的原产地证明、装箱清单及商检证明。</w:t>
      </w:r>
    </w:p>
    <w:p w14:paraId="5DCEE906">
      <w:r>
        <w:rPr>
          <w:rFonts w:hint="eastAsia"/>
          <w:lang w:eastAsia="zh-CN"/>
        </w:rPr>
        <w:t>五</w:t>
      </w:r>
      <w:r>
        <w:rPr>
          <w:rFonts w:hint="eastAsia"/>
        </w:rPr>
        <w:t>、其他优惠条件，请予以书面说明。</w:t>
      </w:r>
    </w:p>
    <w:p w14:paraId="0D7F76AF">
      <w:pPr>
        <w:tabs>
          <w:tab w:val="left" w:pos="315"/>
          <w:tab w:val="center" w:pos="4153"/>
        </w:tabs>
        <w:jc w:val="both"/>
        <w:rPr>
          <w:rFonts w:hint="eastAsia" w:ascii="仿宋" w:hAnsi="仿宋" w:eastAsia="仿宋" w:cs="仿宋"/>
          <w:b/>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7"/>
    <w:multiLevelType w:val="multilevel"/>
    <w:tmpl w:val="00000037"/>
    <w:lvl w:ilvl="0" w:tentative="0">
      <w:start w:val="1"/>
      <w:numFmt w:val="decimal"/>
      <w:lvlText w:val="%1."/>
      <w:lvlJc w:val="left"/>
      <w:pPr>
        <w:tabs>
          <w:tab w:val="left" w:pos="425"/>
        </w:tabs>
        <w:ind w:left="425" w:hanging="425"/>
      </w:pPr>
      <w:rPr>
        <w:rFonts w:hint="eastAsia" w:ascii="宋体" w:hAnsi="宋体" w:eastAsia="宋体"/>
        <w:b w:val="0"/>
      </w:rPr>
    </w:lvl>
    <w:lvl w:ilvl="1" w:tentative="0">
      <w:start w:val="1"/>
      <w:numFmt w:val="decimal"/>
      <w:lvlText w:val="14.%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hODdmOGFlNGQwM2M5NWUwZWM4NzA1ZTFlZGIzMjkifQ=="/>
  </w:docVars>
  <w:rsids>
    <w:rsidRoot w:val="007618CB"/>
    <w:rsid w:val="000511DE"/>
    <w:rsid w:val="000A2A5C"/>
    <w:rsid w:val="000C7D67"/>
    <w:rsid w:val="00121860"/>
    <w:rsid w:val="001509F8"/>
    <w:rsid w:val="00153855"/>
    <w:rsid w:val="00195EE8"/>
    <w:rsid w:val="00197036"/>
    <w:rsid w:val="001E1998"/>
    <w:rsid w:val="00225145"/>
    <w:rsid w:val="00296F6F"/>
    <w:rsid w:val="002D571D"/>
    <w:rsid w:val="003E302C"/>
    <w:rsid w:val="003E7398"/>
    <w:rsid w:val="003F2514"/>
    <w:rsid w:val="003F2C02"/>
    <w:rsid w:val="0040182F"/>
    <w:rsid w:val="00431FA0"/>
    <w:rsid w:val="004670CB"/>
    <w:rsid w:val="00486E21"/>
    <w:rsid w:val="004F3A68"/>
    <w:rsid w:val="00502AB9"/>
    <w:rsid w:val="00512CE4"/>
    <w:rsid w:val="00530477"/>
    <w:rsid w:val="00571136"/>
    <w:rsid w:val="005C07B0"/>
    <w:rsid w:val="00640FC3"/>
    <w:rsid w:val="006558F2"/>
    <w:rsid w:val="006B00D2"/>
    <w:rsid w:val="007618CB"/>
    <w:rsid w:val="00765BD7"/>
    <w:rsid w:val="00766CD5"/>
    <w:rsid w:val="00770830"/>
    <w:rsid w:val="0077478D"/>
    <w:rsid w:val="007E5547"/>
    <w:rsid w:val="00807811"/>
    <w:rsid w:val="00822C84"/>
    <w:rsid w:val="00845049"/>
    <w:rsid w:val="00850B50"/>
    <w:rsid w:val="00885D79"/>
    <w:rsid w:val="008D24EE"/>
    <w:rsid w:val="008E1421"/>
    <w:rsid w:val="008E26C3"/>
    <w:rsid w:val="008E4C0A"/>
    <w:rsid w:val="0097273D"/>
    <w:rsid w:val="009A222E"/>
    <w:rsid w:val="00A44982"/>
    <w:rsid w:val="00A96396"/>
    <w:rsid w:val="00AB120C"/>
    <w:rsid w:val="00B22B7F"/>
    <w:rsid w:val="00B26688"/>
    <w:rsid w:val="00B45ECF"/>
    <w:rsid w:val="00B75A4B"/>
    <w:rsid w:val="00B85C79"/>
    <w:rsid w:val="00BD312B"/>
    <w:rsid w:val="00BF276A"/>
    <w:rsid w:val="00C07C26"/>
    <w:rsid w:val="00C41658"/>
    <w:rsid w:val="00C424FC"/>
    <w:rsid w:val="00C6531A"/>
    <w:rsid w:val="00C80043"/>
    <w:rsid w:val="00CA2E9B"/>
    <w:rsid w:val="00CE32D9"/>
    <w:rsid w:val="00D114E6"/>
    <w:rsid w:val="00D877B1"/>
    <w:rsid w:val="00DC20EE"/>
    <w:rsid w:val="00E47805"/>
    <w:rsid w:val="00E60D3B"/>
    <w:rsid w:val="00E82E3C"/>
    <w:rsid w:val="00EB15C6"/>
    <w:rsid w:val="00F32547"/>
    <w:rsid w:val="00F7312A"/>
    <w:rsid w:val="063D7FA8"/>
    <w:rsid w:val="0E357A8C"/>
    <w:rsid w:val="130902D5"/>
    <w:rsid w:val="1702736D"/>
    <w:rsid w:val="1BE95949"/>
    <w:rsid w:val="1D954DA0"/>
    <w:rsid w:val="215D1C47"/>
    <w:rsid w:val="228513DE"/>
    <w:rsid w:val="26FD7EA8"/>
    <w:rsid w:val="27101FD9"/>
    <w:rsid w:val="27C451C5"/>
    <w:rsid w:val="2B696CE8"/>
    <w:rsid w:val="2D6E346E"/>
    <w:rsid w:val="31DA590F"/>
    <w:rsid w:val="352B1543"/>
    <w:rsid w:val="362E574A"/>
    <w:rsid w:val="380150AD"/>
    <w:rsid w:val="38204E57"/>
    <w:rsid w:val="3C455052"/>
    <w:rsid w:val="44E542A7"/>
    <w:rsid w:val="47706C04"/>
    <w:rsid w:val="49923DB3"/>
    <w:rsid w:val="4A0E2288"/>
    <w:rsid w:val="4AB25E49"/>
    <w:rsid w:val="4B3E35B6"/>
    <w:rsid w:val="4BC27EAF"/>
    <w:rsid w:val="4C6D684B"/>
    <w:rsid w:val="53BD7876"/>
    <w:rsid w:val="585A6305"/>
    <w:rsid w:val="58943D46"/>
    <w:rsid w:val="59551107"/>
    <w:rsid w:val="59A87B7B"/>
    <w:rsid w:val="63850312"/>
    <w:rsid w:val="688D0CB3"/>
    <w:rsid w:val="6F0D687B"/>
    <w:rsid w:val="70A766BD"/>
    <w:rsid w:val="72031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styleId="4">
    <w:name w:val="Normal Indent"/>
    <w:basedOn w:val="1"/>
    <w:qFormat/>
    <w:uiPriority w:val="0"/>
    <w:pPr>
      <w:widowControl/>
      <w:adjustRightInd w:val="0"/>
      <w:ind w:firstLine="420"/>
      <w:jc w:val="left"/>
      <w:textAlignment w:val="baseline"/>
    </w:pPr>
    <w:rPr>
      <w:rFonts w:eastAsia="楷体_GB2312"/>
      <w:kern w:val="0"/>
      <w:sz w:val="24"/>
      <w:szCs w:val="20"/>
    </w:rPr>
  </w:style>
  <w:style w:type="paragraph" w:styleId="5">
    <w:name w:val="Document Map"/>
    <w:basedOn w:val="1"/>
    <w:qFormat/>
    <w:uiPriority w:val="0"/>
    <w:pPr>
      <w:shd w:val="clear" w:color="auto" w:fill="000080"/>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style>
  <w:style w:type="paragraph" w:styleId="8">
    <w:name w:val="Block Text"/>
    <w:basedOn w:val="1"/>
    <w:qFormat/>
    <w:uiPriority w:val="99"/>
    <w:pPr>
      <w:adjustRightInd w:val="0"/>
      <w:spacing w:line="360" w:lineRule="auto"/>
      <w:ind w:left="630" w:right="-609" w:firstLine="420"/>
    </w:pPr>
    <w:rPr>
      <w:rFonts w:hint="eastAsia" w:ascii="仿宋_GB2312" w:eastAsia="仿宋_GB2312"/>
      <w:kern w:val="0"/>
      <w:szCs w:val="20"/>
    </w:rPr>
  </w:style>
  <w:style w:type="paragraph" w:styleId="9">
    <w:name w:val="Body Text Indent 2"/>
    <w:basedOn w:val="1"/>
    <w:qFormat/>
    <w:uiPriority w:val="0"/>
    <w:pPr>
      <w:spacing w:after="120" w:line="480" w:lineRule="auto"/>
      <w:ind w:left="420" w:leftChars="200"/>
    </w:pPr>
  </w:style>
  <w:style w:type="paragraph" w:styleId="10">
    <w:name w:val="footer"/>
    <w:basedOn w:val="1"/>
    <w:link w:val="18"/>
    <w:qFormat/>
    <w:uiPriority w:val="0"/>
    <w:pPr>
      <w:tabs>
        <w:tab w:val="center" w:pos="4153"/>
        <w:tab w:val="right" w:pos="8306"/>
      </w:tabs>
      <w:snapToGrid w:val="0"/>
      <w:jc w:val="left"/>
    </w:pPr>
    <w:rPr>
      <w:sz w:val="18"/>
      <w:szCs w:val="18"/>
    </w:rPr>
  </w:style>
  <w:style w:type="paragraph" w:styleId="11">
    <w:name w:val="header"/>
    <w:basedOn w:val="1"/>
    <w:link w:val="17"/>
    <w:qFormat/>
    <w:uiPriority w:val="0"/>
    <w:pPr>
      <w:tabs>
        <w:tab w:val="center" w:pos="4153"/>
        <w:tab w:val="right" w:pos="8306"/>
      </w:tabs>
      <w:snapToGrid w:val="0"/>
      <w:jc w:val="center"/>
    </w:pPr>
    <w:rPr>
      <w:sz w:val="18"/>
      <w:szCs w:val="18"/>
    </w:rPr>
  </w:style>
  <w:style w:type="paragraph" w:styleId="12">
    <w:name w:val="Body Text Indent 3"/>
    <w:basedOn w:val="1"/>
    <w:link w:val="19"/>
    <w:qFormat/>
    <w:uiPriority w:val="0"/>
    <w:pPr>
      <w:spacing w:after="120"/>
      <w:ind w:left="420" w:leftChars="200"/>
    </w:pPr>
    <w:rPr>
      <w:sz w:val="16"/>
      <w:szCs w:val="16"/>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首行缩进"/>
    <w:basedOn w:val="1"/>
    <w:qFormat/>
    <w:uiPriority w:val="0"/>
    <w:pPr>
      <w:spacing w:line="360" w:lineRule="auto"/>
      <w:ind w:firstLine="480" w:firstLineChars="200"/>
      <w:jc w:val="left"/>
    </w:pPr>
    <w:rPr>
      <w:rFonts w:ascii="宋体" w:hAnsi="宋体"/>
      <w:sz w:val="24"/>
    </w:rPr>
  </w:style>
  <w:style w:type="character" w:customStyle="1" w:styleId="17">
    <w:name w:val="页眉 字符"/>
    <w:basedOn w:val="15"/>
    <w:link w:val="11"/>
    <w:qFormat/>
    <w:uiPriority w:val="0"/>
    <w:rPr>
      <w:rFonts w:ascii="Times New Roman" w:hAnsi="Times New Roman" w:eastAsia="宋体" w:cs="Times New Roman"/>
      <w:kern w:val="2"/>
      <w:sz w:val="18"/>
      <w:szCs w:val="18"/>
    </w:rPr>
  </w:style>
  <w:style w:type="character" w:customStyle="1" w:styleId="18">
    <w:name w:val="页脚 字符"/>
    <w:basedOn w:val="15"/>
    <w:link w:val="10"/>
    <w:qFormat/>
    <w:uiPriority w:val="0"/>
    <w:rPr>
      <w:rFonts w:ascii="Times New Roman" w:hAnsi="Times New Roman" w:eastAsia="宋体" w:cs="Times New Roman"/>
      <w:kern w:val="2"/>
      <w:sz w:val="18"/>
      <w:szCs w:val="18"/>
    </w:rPr>
  </w:style>
  <w:style w:type="character" w:customStyle="1" w:styleId="19">
    <w:name w:val="正文文本缩进 3 字符"/>
    <w:basedOn w:val="15"/>
    <w:link w:val="12"/>
    <w:qFormat/>
    <w:uiPriority w:val="0"/>
    <w:rPr>
      <w:rFonts w:ascii="Times New Roman" w:hAnsi="Times New Roman" w:eastAsia="宋体" w:cs="Times New Roman"/>
      <w:kern w:val="2"/>
      <w:sz w:val="16"/>
      <w:szCs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2865</Words>
  <Characters>3066</Characters>
  <Lines>23</Lines>
  <Paragraphs>6</Paragraphs>
  <TotalTime>3086</TotalTime>
  <ScaleCrop>false</ScaleCrop>
  <LinksUpToDate>false</LinksUpToDate>
  <CharactersWithSpaces>3237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2024-04-11T06:47:00Z</dcterms:created>
  <dc:creator>DuneZ</dc:creator>
  <cp:lastModifiedBy>Administrator</cp:lastModifiedBy>
  <cp:lastPrinted>2024-07-30T06:27:00Z</cp:lastPrinted>
  <dcterms:modified xsi:type="dcterms:W3CDTF">2024-07-31T06:50:53Z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A4492D9F5A3F4D79814BB46D915E51D5_13</vt:lpwstr>
  </property>
</Properties>
</file>